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tabs>
          <w:tab w:val="left" w:pos="4320"/>
        </w:tabs>
        <w:snapToGrid w:val="0"/>
        <w:spacing w:line="360" w:lineRule="auto"/>
        <w:ind w:firstLine="643" w:firstLineChars="200"/>
        <w:jc w:val="center"/>
        <w:rPr>
          <w:rFonts w:hint="default" w:ascii="Times New Roman" w:hAnsi="Times New Roman" w:cs="Times New Roman"/>
          <w:b/>
          <w:sz w:val="32"/>
          <w:lang w:val="en-US" w:eastAsia="zh-CN"/>
        </w:rPr>
      </w:pPr>
      <w:r>
        <w:rPr>
          <w:rFonts w:hint="eastAsia" w:ascii="Times New Roman" w:hAnsi="Times New Roman" w:cs="Times New Roman"/>
          <w:b/>
          <w:sz w:val="32"/>
        </w:rPr>
        <w:drawing>
          <wp:anchor distT="0" distB="0" distL="114300" distR="114300" simplePos="0" relativeHeight="251659264" behindDoc="0" locked="0" layoutInCell="1" allowOverlap="1">
            <wp:simplePos x="0" y="0"/>
            <wp:positionH relativeFrom="page">
              <wp:posOffset>11404600</wp:posOffset>
            </wp:positionH>
            <wp:positionV relativeFrom="topMargin">
              <wp:posOffset>10553700</wp:posOffset>
            </wp:positionV>
            <wp:extent cx="444500" cy="469900"/>
            <wp:effectExtent l="0" t="0" r="12700" b="635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6"/>
                    <a:stretch>
                      <a:fillRect/>
                    </a:stretch>
                  </pic:blipFill>
                  <pic:spPr>
                    <a:xfrm>
                      <a:off x="0" y="0"/>
                      <a:ext cx="444500" cy="469900"/>
                    </a:xfrm>
                    <a:prstGeom prst="rect">
                      <a:avLst/>
                    </a:prstGeom>
                  </pic:spPr>
                </pic:pic>
              </a:graphicData>
            </a:graphic>
          </wp:anchor>
        </w:drawing>
      </w:r>
      <w:r>
        <w:rPr>
          <w:rFonts w:hint="eastAsia" w:ascii="Times New Roman" w:hAnsi="Times New Roman" w:cs="Times New Roman"/>
          <w:b/>
          <w:sz w:val="32"/>
          <w:lang w:val="en-US" w:eastAsia="zh-CN"/>
        </w:rPr>
        <w:t>地图专题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b w:val="0"/>
          <w:bCs/>
          <w:sz w:val="21"/>
          <w:szCs w:val="21"/>
        </w:rPr>
      </w:pPr>
      <w:r>
        <w:rPr>
          <w:rStyle w:val="14"/>
          <w:rFonts w:hint="eastAsia" w:ascii="宋体" w:hAnsi="宋体" w:eastAsia="宋体" w:cs="宋体"/>
          <w:b w:val="0"/>
          <w:bCs/>
          <w:sz w:val="21"/>
          <w:szCs w:val="21"/>
        </w:rPr>
        <w:t>1、经度的递变：</w:t>
      </w:r>
      <w:r>
        <w:rPr>
          <w:rFonts w:hint="eastAsia" w:ascii="宋体" w:hAnsi="宋体" w:eastAsia="宋体" w:cs="宋体"/>
          <w:b w:val="0"/>
          <w:bCs/>
          <w:sz w:val="21"/>
          <w:szCs w:val="21"/>
        </w:rPr>
        <w:t>向东度数增大为东经度，向西度数增大为西经度。 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Style w:val="14"/>
          <w:rFonts w:hint="eastAsia" w:ascii="宋体" w:hAnsi="宋体" w:eastAsia="宋体" w:cs="宋体"/>
          <w:b w:val="0"/>
          <w:bCs/>
          <w:sz w:val="21"/>
          <w:szCs w:val="21"/>
        </w:rPr>
        <w:t>2、纬度的递变</w:t>
      </w:r>
      <w:r>
        <w:rPr>
          <w:rFonts w:hint="eastAsia" w:ascii="宋体" w:hAnsi="宋体" w:eastAsia="宋体" w:cs="宋体"/>
          <w:b w:val="0"/>
          <w:bCs/>
          <w:sz w:val="21"/>
          <w:szCs w:val="21"/>
        </w:rPr>
        <w:t>：向北度</w:t>
      </w:r>
      <w:r>
        <w:rPr>
          <w:rFonts w:hint="eastAsia" w:ascii="宋体" w:hAnsi="宋体" w:eastAsia="宋体" w:cs="宋体"/>
          <w:sz w:val="21"/>
          <w:szCs w:val="21"/>
        </w:rPr>
        <w:t>数增大为北纬度，向南度数增大为南纬度。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3、纬线的形状和长度：互相平行的圆，赤道是最长的纬线圈，由此往两极逐渐缩短。 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4、经线的形状和长度：所有经线都是交于南北极点的半圆，长度都相等。 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5、东西经的判断：沿著自转方向增大的是东经，减小的是西经。</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6、南北纬的判断：度数向北增大为北纬，向南增大为南纬。</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7、东西半球的划分：20°W往东至160°E为东半球，20°W往西至160°E为西半球。 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8、东西方向的判断：劣弧定律（例如东经80°在东经1°的东面，在西经170°的西面）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9、比例尺大小与图示范围：相同图幅，比例尺愈大，表示的范围愈小；比例尺愈小，表示的范围愈大。 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10、地图上方向的确定：一般情况，“上北下南，左西右东”；有指向标的地图，指向标的箭头指向北方；经纬网地图，经线指示南北方向，纬线指示东西方向。</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11、等值线的疏密：同一幅图中等高线越密，坡度越陡；等压线越密，风力越大；等温线越密，温差越大 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12、等高线的凸向与地形：等高线向高处凸出的地方为山谷，向低处凸出的地方为山脊。 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13、等高线的凸向与河流：等高线凸出方向与河流流向相反。 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Microsoft YaHei UI" w:hAnsi="Microsoft YaHei UI" w:eastAsia="Microsoft YaHei UI" w:cs="Microsoft YaHei UI"/>
          <w:i w:val="0"/>
          <w:iCs w:val="0"/>
          <w:caps w:val="0"/>
          <w:color w:val="222222"/>
          <w:spacing w:val="8"/>
          <w:sz w:val="2"/>
          <w:szCs w:val="2"/>
          <w:lang w:eastAsia="zh-CN"/>
        </w:rPr>
      </w:pPr>
      <w:r>
        <w:rPr>
          <w:rFonts w:hint="eastAsia" w:ascii="宋体" w:hAnsi="宋体" w:eastAsia="宋体" w:cs="宋体"/>
          <w:sz w:val="21"/>
          <w:szCs w:val="21"/>
        </w:rPr>
        <w:t>14、等温线的凸向与洋流：等温线凸出方向与洋流流向相同。</w:t>
      </w:r>
    </w:p>
    <w:p>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Chars="0" w:right="0" w:rightChars="0"/>
        <w:jc w:val="both"/>
        <w:rPr>
          <w:rFonts w:hint="eastAsia" w:ascii="宋体" w:hAnsi="宋体"/>
          <w:b/>
          <w:kern w:val="0"/>
          <w:sz w:val="21"/>
          <w:szCs w:val="21"/>
          <w:shd w:val="clear" w:color="auto" w:fill="FFFFFF"/>
        </w:rPr>
      </w:pPr>
      <w:r>
        <w:rPr>
          <w:rFonts w:hint="eastAsia" w:ascii="宋体" w:hAnsi="宋体"/>
          <w:b/>
          <w:kern w:val="0"/>
          <w:sz w:val="21"/>
          <w:szCs w:val="21"/>
          <w:shd w:val="clear" w:color="auto" w:fill="FFFFFF"/>
        </w:rPr>
        <w:t>【拓展提升】</w:t>
      </w:r>
    </w:p>
    <w:p>
      <w:pPr>
        <w:spacing w:line="360" w:lineRule="auto"/>
        <w:ind w:firstLine="420"/>
        <w:jc w:val="left"/>
        <w:textAlignment w:val="center"/>
        <w:rPr>
          <w:rFonts w:ascii="楷体" w:hAnsi="楷体" w:eastAsia="楷体" w:cs="楷体"/>
        </w:rPr>
      </w:pPr>
      <w:r>
        <w:rPr>
          <w:rFonts w:ascii="楷体" w:hAnsi="楷体" w:eastAsia="楷体" w:cs="楷体"/>
        </w:rPr>
        <w:t>下图为某地经历了三次断层的地质平面图，其中不连续面指被风化和侵蚀的面。据此完成下面小题。</w:t>
      </w:r>
    </w:p>
    <w:p>
      <w:pPr>
        <w:spacing w:line="360" w:lineRule="auto"/>
        <w:jc w:val="center"/>
        <w:textAlignment w:val="center"/>
        <w:rPr>
          <w:rFonts w:hint="eastAsia" w:ascii="宋体" w:hAnsi="宋体" w:eastAsia="宋体" w:cs="宋体"/>
          <w:b/>
          <w:sz w:val="21"/>
        </w:rPr>
      </w:pPr>
      <w:r>
        <w:rPr>
          <w:rFonts w:hint="eastAsia" w:ascii="宋体" w:hAnsi="宋体" w:eastAsia="宋体" w:cs="宋体"/>
          <w:b/>
          <w:sz w:val="21"/>
        </w:rPr>
        <w:drawing>
          <wp:inline distT="0" distB="0" distL="114300" distR="114300">
            <wp:extent cx="3323590" cy="1813560"/>
            <wp:effectExtent l="0" t="0" r="10160" b="1524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7"/>
                    <a:stretch>
                      <a:fillRect/>
                    </a:stretch>
                  </pic:blipFill>
                  <pic:spPr>
                    <a:xfrm>
                      <a:off x="0" y="0"/>
                      <a:ext cx="3323590" cy="1813560"/>
                    </a:xfrm>
                    <a:prstGeom prst="rect">
                      <a:avLst/>
                    </a:prstGeom>
                  </pic:spPr>
                </pic:pic>
              </a:graphicData>
            </a:graphic>
          </wp:inline>
        </w:drawing>
      </w:r>
    </w:p>
    <w:p>
      <w:pPr>
        <w:spacing w:line="360" w:lineRule="auto"/>
        <w:jc w:val="left"/>
        <w:textAlignment w:val="center"/>
      </w:pPr>
      <w:r>
        <w:t>1．没有经过山谷的断层或不连续面是（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A．甲</w:t>
      </w:r>
      <w:r>
        <w:tab/>
      </w:r>
      <w:r>
        <w:t>B．乙</w:t>
      </w:r>
      <w:r>
        <w:tab/>
      </w:r>
      <w:r>
        <w:t>C．丙</w:t>
      </w:r>
      <w:r>
        <w:tab/>
      </w:r>
      <w:r>
        <w:t>D．戊</w:t>
      </w:r>
    </w:p>
    <w:p>
      <w:pPr>
        <w:spacing w:line="360" w:lineRule="auto"/>
        <w:jc w:val="left"/>
        <w:textAlignment w:val="center"/>
      </w:pPr>
      <w:r>
        <w:t>2．图中断层甲、乙和不连续面丙、丁形成先后顺序正确的是（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A．乙丙甲</w:t>
      </w:r>
      <w:r>
        <w:tab/>
      </w:r>
      <w:r>
        <w:t>B．甲乙丁</w:t>
      </w:r>
      <w:r>
        <w:tab/>
      </w:r>
      <w:r>
        <w:t>C．甲丙乙</w:t>
      </w:r>
      <w:r>
        <w:tab/>
      </w:r>
      <w:r>
        <w:t>D．丁乙甲</w:t>
      </w:r>
    </w:p>
    <w:p>
      <w:pPr>
        <w:spacing w:line="360" w:lineRule="auto"/>
        <w:jc w:val="left"/>
        <w:textAlignment w:val="center"/>
        <w:rPr>
          <w:color w:val="FF0000"/>
        </w:rPr>
      </w:pPr>
      <w:r>
        <w:rPr>
          <w:color w:val="FF0000"/>
        </w:rPr>
        <w:t>【答案】1．A</w:t>
      </w:r>
      <w:r>
        <w:rPr>
          <w:rFonts w:hint="eastAsia"/>
          <w:color w:val="FF0000"/>
          <w:lang w:val="en-US" w:eastAsia="zh-CN"/>
        </w:rPr>
        <w:t xml:space="preserve">  </w:t>
      </w:r>
      <w:r>
        <w:rPr>
          <w:color w:val="FF0000"/>
        </w:rPr>
        <w:t>2．A</w:t>
      </w:r>
    </w:p>
    <w:p>
      <w:pPr>
        <w:spacing w:line="360" w:lineRule="auto"/>
        <w:jc w:val="left"/>
        <w:textAlignment w:val="center"/>
        <w:rPr>
          <w:color w:val="FF0000"/>
        </w:rPr>
      </w:pPr>
      <w:r>
        <w:rPr>
          <w:color w:val="FF0000"/>
        </w:rPr>
        <w:t>【解析】1．注意图中虚线表示等高线，在等高线地形图中，等高线由数值小的向数值大的一侧弯曲表示山谷，结合图示信息可知，乙丙戊均经过了山谷，而甲所经地区为山地的山脊，没有经过山谷，故选A。</w:t>
      </w:r>
    </w:p>
    <w:p>
      <w:pPr>
        <w:spacing w:line="360" w:lineRule="auto"/>
        <w:jc w:val="left"/>
        <w:textAlignment w:val="center"/>
        <w:rPr>
          <w:color w:val="FF0000"/>
        </w:rPr>
      </w:pPr>
      <w:r>
        <w:rPr>
          <w:color w:val="FF0000"/>
        </w:rPr>
        <w:t>2．甲断层使得P1岩层错位，乙断层使得S3岩层错位，结合图中岩层年龄信息可知，乙断层发生较甲断层更早，BC错。乙断层在丁侵蚀面未继续延伸，表明先出现乙断层，后发生侵蚀形成丁侵蚀面，D错。丙侵蚀面在甲断层处未继续延伸，表明先出现丙侵蚀面，后发生断层，形成甲断层。所以先后顺序正确的是乙丙甲，故选A。</w:t>
      </w:r>
    </w:p>
    <w:p>
      <w:pPr>
        <w:spacing w:line="360" w:lineRule="auto"/>
        <w:ind w:firstLine="420"/>
        <w:jc w:val="left"/>
        <w:textAlignment w:val="center"/>
        <w:rPr>
          <w:rFonts w:ascii="楷体" w:hAnsi="楷体" w:eastAsia="楷体" w:cs="楷体"/>
        </w:rPr>
      </w:pPr>
      <w:r>
        <w:rPr>
          <w:rFonts w:ascii="楷体" w:hAnsi="楷体" w:eastAsia="楷体" w:cs="楷体"/>
        </w:rPr>
        <w:t>下图为我国四座大城市由城市中心区向外的步行等时线分布示意图（单位：分钟）。读图完成下面小题。</w:t>
      </w:r>
    </w:p>
    <w:p>
      <w:pPr>
        <w:spacing w:line="360" w:lineRule="auto"/>
        <w:jc w:val="center"/>
        <w:textAlignment w:val="center"/>
      </w:pPr>
      <w:r>
        <w:drawing>
          <wp:inline distT="0" distB="0" distL="114300" distR="114300">
            <wp:extent cx="3532505" cy="2781935"/>
            <wp:effectExtent l="0" t="0" r="10795" b="1841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8"/>
                    <a:stretch>
                      <a:fillRect/>
                    </a:stretch>
                  </pic:blipFill>
                  <pic:spPr>
                    <a:xfrm>
                      <a:off x="0" y="0"/>
                      <a:ext cx="3532505" cy="2781935"/>
                    </a:xfrm>
                    <a:prstGeom prst="rect">
                      <a:avLst/>
                    </a:prstGeom>
                  </pic:spPr>
                </pic:pic>
              </a:graphicData>
            </a:graphic>
          </wp:inline>
        </w:drawing>
      </w:r>
    </w:p>
    <w:p>
      <w:pPr>
        <w:spacing w:line="360" w:lineRule="auto"/>
        <w:jc w:val="left"/>
        <w:textAlignment w:val="center"/>
      </w:pPr>
      <w:r>
        <w:t>3．据图推断（</w:t>
      </w:r>
      <w:r>
        <w:rPr>
          <w:rFonts w:ascii="'Times New Roman'" w:hAnsi="'Times New Roman'" w:eastAsia="'Times New Roman'" w:cs="'Times New Roman'"/>
        </w:rPr>
        <w:t>     </w:t>
      </w:r>
      <w:r>
        <w:t>）</w:t>
      </w:r>
    </w:p>
    <w:p>
      <w:pPr>
        <w:tabs>
          <w:tab w:val="left" w:pos="4153"/>
        </w:tabs>
        <w:spacing w:line="360" w:lineRule="auto"/>
        <w:ind w:firstLine="210" w:firstLineChars="100"/>
        <w:jc w:val="left"/>
        <w:textAlignment w:val="center"/>
      </w:pPr>
      <w:r>
        <w:t>A．甲城市的道路布局具有良好的可达性</w:t>
      </w:r>
      <w:r>
        <w:tab/>
      </w:r>
      <w:r>
        <w:t>B．乙城市主干道自城中心呈放射状延展</w:t>
      </w:r>
    </w:p>
    <w:p>
      <w:pPr>
        <w:tabs>
          <w:tab w:val="left" w:pos="4153"/>
        </w:tabs>
        <w:spacing w:line="360" w:lineRule="auto"/>
        <w:ind w:firstLine="210" w:firstLineChars="100"/>
        <w:jc w:val="left"/>
        <w:textAlignment w:val="center"/>
      </w:pPr>
      <w:r>
        <w:t>C．丙城市地形崎岖，自然地理屏障较多</w:t>
      </w:r>
      <w:r>
        <w:tab/>
      </w:r>
      <w:r>
        <w:t>D．丁城市有河流自南向北穿过城中心区</w:t>
      </w:r>
    </w:p>
    <w:p>
      <w:pPr>
        <w:spacing w:line="360" w:lineRule="auto"/>
        <w:jc w:val="left"/>
        <w:textAlignment w:val="center"/>
      </w:pPr>
      <w:r>
        <w:t>4．在丁城市的a～d四个方向中，步行可达性最优的是（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A．a</w:t>
      </w:r>
      <w:r>
        <w:tab/>
      </w:r>
      <w:r>
        <w:t>B．b</w:t>
      </w:r>
      <w:r>
        <w:tab/>
      </w:r>
      <w:r>
        <w:t>C．c</w:t>
      </w:r>
      <w:r>
        <w:tab/>
      </w:r>
      <w:r>
        <w:t>D．d</w:t>
      </w:r>
    </w:p>
    <w:p>
      <w:pPr>
        <w:spacing w:line="360" w:lineRule="auto"/>
        <w:jc w:val="left"/>
        <w:textAlignment w:val="center"/>
        <w:rPr>
          <w:color w:val="FF0000"/>
        </w:rPr>
      </w:pPr>
      <w:r>
        <w:rPr>
          <w:color w:val="FF0000"/>
        </w:rPr>
        <w:t>【答案】3．A</w:t>
      </w:r>
      <w:r>
        <w:rPr>
          <w:rFonts w:hint="eastAsia"/>
          <w:color w:val="FF0000"/>
          <w:lang w:val="en-US" w:eastAsia="zh-CN"/>
        </w:rPr>
        <w:t xml:space="preserve">  </w:t>
      </w:r>
      <w:r>
        <w:rPr>
          <w:color w:val="FF0000"/>
        </w:rPr>
        <w:t>4．A</w:t>
      </w:r>
    </w:p>
    <w:p>
      <w:pPr>
        <w:spacing w:line="360" w:lineRule="auto"/>
        <w:jc w:val="left"/>
        <w:textAlignment w:val="center"/>
        <w:rPr>
          <w:color w:val="FF0000"/>
        </w:rPr>
      </w:pPr>
      <w:r>
        <w:rPr>
          <w:color w:val="FF0000"/>
        </w:rPr>
        <w:t>【解析】3．读图可知，甲城市由城市中心区向外的步行等时线分布的比较稀疏，呈同心圆式分布格局，由市中心向外等距的条件下所用的时间最少，因此可达性较好，A正确；乙城市步行等时线呈现方格加对角线分布模式，只在对角线的方向上可达性更高，因此不是自城中心呈放射状延展，B错误；丙城市主体呈现的是同心圆式向外分布，在城区的东北部等时线交汇，在东北部出现自然地理屏障，但可能是山地，也可能是河流分布所致，所以不能说明丙城市地形崎岖，C错误；丁城市步行等时线的北部向外凸出，可达性较强，不应存在自然障碍，南部等时线出现向中心弯曲，可能存在自然障碍，而中心区呈同心圆向外分布，因此不能说明有河流自南向北穿过中心区，D错误。故选A。</w:t>
      </w:r>
    </w:p>
    <w:p>
      <w:pPr>
        <w:spacing w:line="360" w:lineRule="auto"/>
        <w:jc w:val="left"/>
        <w:textAlignment w:val="center"/>
        <w:rPr>
          <w:color w:val="FF0000"/>
        </w:rPr>
      </w:pPr>
      <w:r>
        <w:rPr>
          <w:color w:val="FF0000"/>
        </w:rPr>
        <w:t>4．在丁城市的a～d四个方向中，a方向步行等时线由中主向外凸出，距市中心相同距离下，步行所用的时间最少，步行可达性最优，A正确，BCD错误。故选A。</w:t>
      </w:r>
    </w:p>
    <w:p>
      <w:pPr>
        <w:spacing w:line="360" w:lineRule="auto"/>
        <w:jc w:val="left"/>
        <w:textAlignment w:val="center"/>
        <w:rPr>
          <w:rFonts w:ascii="宋体" w:hAnsi="宋体" w:eastAsia="宋体" w:cs="宋体"/>
          <w:b/>
          <w:sz w:val="21"/>
        </w:rPr>
      </w:pPr>
      <w:r>
        <w:rPr>
          <w:rFonts w:ascii="宋体" w:hAnsi="宋体" w:eastAsia="宋体" w:cs="宋体"/>
          <w:b/>
          <w:sz w:val="21"/>
        </w:rPr>
        <w:t>二、综合题</w:t>
      </w:r>
    </w:p>
    <w:p>
      <w:pPr>
        <w:spacing w:line="360" w:lineRule="auto"/>
        <w:jc w:val="left"/>
        <w:textAlignment w:val="center"/>
      </w:pPr>
      <w:r>
        <w:t>5．阅读图文材料,完成下列要求。</w:t>
      </w:r>
    </w:p>
    <w:p>
      <w:pPr>
        <w:spacing w:line="360" w:lineRule="auto"/>
        <w:ind w:firstLine="420"/>
        <w:jc w:val="left"/>
        <w:textAlignment w:val="center"/>
        <w:rPr>
          <w:rFonts w:ascii="楷体" w:hAnsi="楷体" w:eastAsia="楷体" w:cs="楷体"/>
        </w:rPr>
      </w:pPr>
      <w:r>
        <w:rPr>
          <w:rFonts w:ascii="楷体" w:hAnsi="楷体" w:eastAsia="楷体" w:cs="楷体"/>
        </w:rPr>
        <w:t>2017年11月,中国与摩洛哥签订“一带一路”合作备忘录。2018年10月，由中国承建的能源合作重大项目——全球单机容量最大的塔式熔盐大阳能热发电站在甲地投入使用。该电站使用的常见熔盐是采用磷灰石生产的磷酸盐等,摩洛哥（下左图）磷灰石探明储量居世界首位。该电站发电系统利用“照射光线自动跟踪”技术,精准追踪日光并将镜面反射光聚焦到吸热器上,集热后高温熔盐蒸汽进行发电，发电系统能显著提高发电量。下右图示意塔式太阳能热发电站的组成部分。</w:t>
      </w:r>
    </w:p>
    <w:p>
      <w:pPr>
        <w:spacing w:line="360" w:lineRule="auto"/>
        <w:jc w:val="center"/>
        <w:textAlignment w:val="center"/>
      </w:pPr>
      <w:r>
        <w:drawing>
          <wp:inline distT="0" distB="0" distL="114300" distR="114300">
            <wp:extent cx="2865120" cy="2078355"/>
            <wp:effectExtent l="0" t="0" r="11430" b="1714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9"/>
                    <a:stretch>
                      <a:fillRect/>
                    </a:stretch>
                  </pic:blipFill>
                  <pic:spPr>
                    <a:xfrm>
                      <a:off x="0" y="0"/>
                      <a:ext cx="2865120" cy="2078355"/>
                    </a:xfrm>
                    <a:prstGeom prst="rect">
                      <a:avLst/>
                    </a:prstGeom>
                  </pic:spPr>
                </pic:pic>
              </a:graphicData>
            </a:graphic>
          </wp:inline>
        </w:drawing>
      </w:r>
      <w:r>
        <w:drawing>
          <wp:inline distT="0" distB="0" distL="114300" distR="114300">
            <wp:extent cx="2609850" cy="198120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0"/>
                    <a:stretch>
                      <a:fillRect/>
                    </a:stretch>
                  </pic:blipFill>
                  <pic:spPr>
                    <a:xfrm>
                      <a:off x="0" y="0"/>
                      <a:ext cx="2609850" cy="1981200"/>
                    </a:xfrm>
                    <a:prstGeom prst="rect">
                      <a:avLst/>
                    </a:prstGeom>
                  </pic:spPr>
                </pic:pic>
              </a:graphicData>
            </a:graphic>
          </wp:inline>
        </w:drawing>
      </w:r>
    </w:p>
    <w:p>
      <w:pPr>
        <w:spacing w:line="360" w:lineRule="auto"/>
        <w:jc w:val="left"/>
        <w:textAlignment w:val="center"/>
      </w:pPr>
      <w:r>
        <w:rPr>
          <w:rFonts w:hint="eastAsia"/>
          <w:lang w:eastAsia="zh-CN"/>
        </w:rPr>
        <w:t>（</w:t>
      </w:r>
      <w:r>
        <w:t>1</w:t>
      </w:r>
      <w:r>
        <w:rPr>
          <w:rFonts w:hint="eastAsia"/>
          <w:lang w:eastAsia="zh-CN"/>
        </w:rPr>
        <w:t>）</w:t>
      </w:r>
      <w:r>
        <w:t>简述图示区域的地形特征。</w:t>
      </w:r>
    </w:p>
    <w:p>
      <w:pPr>
        <w:spacing w:line="360" w:lineRule="auto"/>
        <w:jc w:val="left"/>
        <w:textAlignment w:val="center"/>
      </w:pPr>
      <w:r>
        <w:rPr>
          <w:rFonts w:hint="eastAsia"/>
          <w:lang w:eastAsia="zh-CN"/>
        </w:rPr>
        <w:t>（</w:t>
      </w:r>
      <w:r>
        <w:t>2</w:t>
      </w:r>
      <w:r>
        <w:rPr>
          <w:rFonts w:hint="eastAsia"/>
          <w:lang w:eastAsia="zh-CN"/>
        </w:rPr>
        <w:t>）</w:t>
      </w:r>
      <w:r>
        <w:t>说明塔式太阳能热发电系统的设计优点。</w:t>
      </w:r>
    </w:p>
    <w:p>
      <w:pPr>
        <w:spacing w:line="360" w:lineRule="auto"/>
        <w:jc w:val="left"/>
        <w:textAlignment w:val="center"/>
      </w:pPr>
      <w:r>
        <w:rPr>
          <w:rFonts w:hint="eastAsia"/>
          <w:lang w:eastAsia="zh-CN"/>
        </w:rPr>
        <w:t>（</w:t>
      </w:r>
      <w:r>
        <w:t>3</w:t>
      </w:r>
      <w:r>
        <w:rPr>
          <w:rFonts w:hint="eastAsia"/>
          <w:lang w:eastAsia="zh-CN"/>
        </w:rPr>
        <w:t>）</w:t>
      </w:r>
      <w:r>
        <w:t>评价甲地建塔式太阳能热发电站的自然条件。</w:t>
      </w:r>
    </w:p>
    <w:p>
      <w:pPr>
        <w:spacing w:line="360" w:lineRule="auto"/>
        <w:jc w:val="left"/>
        <w:textAlignment w:val="center"/>
      </w:pPr>
      <w:r>
        <w:rPr>
          <w:rFonts w:hint="eastAsia"/>
          <w:lang w:eastAsia="zh-CN"/>
        </w:rPr>
        <w:t>（</w:t>
      </w:r>
      <w:r>
        <w:t>4</w:t>
      </w:r>
      <w:r>
        <w:rPr>
          <w:rFonts w:hint="eastAsia"/>
          <w:lang w:eastAsia="zh-CN"/>
        </w:rPr>
        <w:t>）</w:t>
      </w:r>
      <w:r>
        <w:t>指出在该项目合作中体现的中摩两国各自的优势。</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以山地和高原为主；中部地势较高，东部、西部地势较低，地势起伏大；山地主要分布在北部、中部，高原主要分布在东部、南部；东南部有较大面积沙漠或海岸线平直。</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大量定日镜自动跟踪日光，提高了光能利用效率；使用塔式结构，少占用土地（降低土地成本）；镜面光亮，反射率高；采用定日镜阵列（定日镜众多），集中反射，光能集中，吸热器容易达到较高工作温度；技术先进，各种能量之间（光、热、蒸汽、电能之间）的转换效率高，显著提高发电量。</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有利条件：位于较低纬内陆地区，太阳高度角大，晴天多，光照强；地势较平坦广阔，利于大面积铺设定日镜。不利条件：（位于沙漠附近，）多风沙天气，定日镜面板易被沙尘覆盖，缩短设备的使用年限，影响发电效率；水资源短缺，提高运营成本。</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中国优势：资金雄厚、技术力量强；制造业实力强等。摩洛哥优势：资源（磷灰石、太阳能、土地等）丰富；土地成本、劳动力成本较低等（生产成本较低等）。</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地形特征可以从地势的高低起伏、主要地形类型的分布等方面进行描述。读图可知，该区域地势中部较高，东部和西部地势较低，地势起伏大；地形以山地和高原为主；山地主要分布在北部和中部，高原主要分布在东部和南部；东南部分布有面积较大的沙漠；沿海海岸线比较平直。</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根据材料“该电站发电系统利用“照射光线自动跟踪”技术,精准追踪日光并将镜面反射光聚焦到吸热器上,集热后高温熔盐蒸汽进行发电，发电系统能显著提高发电量”和右图分析，该系统使用塔式结构，占用土地少，降低了土地成本；大量定日镜自动跟踪日光，而且镜面光亮，反射率高，提高了光能的利用效率；采用定日镜阵列集中反射，光能集中，吸热器容易达到较高的工作温度；熔盐可以循环利用；技术先进，光能、热能、高温熔盐、蒸汽、电能之间的能量转换效率高，提高了发电量。</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评价类问题需要从有利和不利两个方面进行评价。有利条件：甲地纬度较低，太阳高度角大；位于内陆地区，降水少，晴天多，光照强；地势平坦开阔，有利于大面积铺设定日镜。不利条件：该地水资源短缺，增加了发电的成本；该地区位于沙漠附近，风沙天气多，定日镜面板易被沙尘覆盖，影响发电效率，缩短了设备的使用年限，增加了维护成本。</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该项目合作中，中国的优势主要体现在资金雄厚，技术力量比较强，产业链完整，制造业实力强等。摩洛哥的优势体现在太阳能、磷灰石资源丰富，土地廉价，劳动力成本较低，政府优惠政策的支持等。</w:t>
      </w:r>
    </w:p>
    <w:p>
      <w:pPr>
        <w:spacing w:line="360" w:lineRule="auto"/>
        <w:jc w:val="left"/>
        <w:textAlignment w:val="center"/>
      </w:pPr>
      <w:r>
        <w:t>6．阅读图文材料，完成下列要求。</w:t>
      </w:r>
    </w:p>
    <w:p>
      <w:pPr>
        <w:spacing w:line="360" w:lineRule="auto"/>
        <w:ind w:firstLine="420"/>
        <w:jc w:val="left"/>
        <w:textAlignment w:val="center"/>
        <w:rPr>
          <w:rFonts w:ascii="楷体" w:hAnsi="楷体" w:eastAsia="楷体" w:cs="楷体"/>
        </w:rPr>
      </w:pPr>
      <w:r>
        <w:rPr>
          <w:rFonts w:ascii="楷体" w:hAnsi="楷体" w:eastAsia="楷体" w:cs="楷体"/>
        </w:rPr>
        <w:t>下图是我国华北地区某河流干支流（局部）略图。图示区域内AB剖面线附近丰水期与枯水期水位相差6m，河漫滩形成速度较快。</w:t>
      </w:r>
    </w:p>
    <w:p>
      <w:pPr>
        <w:spacing w:line="360" w:lineRule="auto"/>
        <w:jc w:val="center"/>
        <w:textAlignment w:val="center"/>
      </w:pPr>
      <w:r>
        <w:drawing>
          <wp:inline distT="0" distB="0" distL="114300" distR="114300">
            <wp:extent cx="4186555" cy="1979295"/>
            <wp:effectExtent l="0" t="0" r="4445" b="190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1"/>
                    <a:stretch>
                      <a:fillRect/>
                    </a:stretch>
                  </pic:blipFill>
                  <pic:spPr>
                    <a:xfrm>
                      <a:off x="0" y="0"/>
                      <a:ext cx="4186555" cy="1979295"/>
                    </a:xfrm>
                    <a:prstGeom prst="rect">
                      <a:avLst/>
                    </a:prstGeom>
                  </pic:spPr>
                </pic:pic>
              </a:graphicData>
            </a:graphic>
          </wp:inline>
        </w:drawing>
      </w:r>
    </w:p>
    <w:p>
      <w:pPr>
        <w:spacing w:line="360" w:lineRule="auto"/>
        <w:jc w:val="left"/>
        <w:textAlignment w:val="center"/>
      </w:pPr>
      <w:r>
        <w:rPr>
          <w:rFonts w:hint="eastAsia"/>
          <w:lang w:eastAsia="zh-CN"/>
        </w:rPr>
        <w:t>（</w:t>
      </w:r>
      <w:r>
        <w:t>1</w:t>
      </w:r>
      <w:r>
        <w:rPr>
          <w:rFonts w:hint="eastAsia"/>
          <w:lang w:eastAsia="zh-CN"/>
        </w:rPr>
        <w:t>）</w:t>
      </w:r>
      <w:r>
        <w:t>在下图中画出丰水期AB剖面线的河床剖面及水位，并用箭头标注水流运动方向。</w:t>
      </w:r>
    </w:p>
    <w:p>
      <w:pPr>
        <w:spacing w:line="360" w:lineRule="auto"/>
        <w:jc w:val="center"/>
        <w:textAlignment w:val="center"/>
      </w:pPr>
      <w:r>
        <w:drawing>
          <wp:inline distT="0" distB="0" distL="114300" distR="114300">
            <wp:extent cx="3545840" cy="1478280"/>
            <wp:effectExtent l="0" t="0" r="16510" b="762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2"/>
                    <a:stretch>
                      <a:fillRect/>
                    </a:stretch>
                  </pic:blipFill>
                  <pic:spPr>
                    <a:xfrm>
                      <a:off x="0" y="0"/>
                      <a:ext cx="3545840" cy="1478280"/>
                    </a:xfrm>
                    <a:prstGeom prst="rect">
                      <a:avLst/>
                    </a:prstGeom>
                  </pic:spPr>
                </pic:pic>
              </a:graphicData>
            </a:graphic>
          </wp:inline>
        </w:drawing>
      </w:r>
    </w:p>
    <w:p>
      <w:pPr>
        <w:spacing w:line="360" w:lineRule="auto"/>
        <w:jc w:val="left"/>
        <w:textAlignment w:val="center"/>
      </w:pPr>
      <w:r>
        <w:rPr>
          <w:rFonts w:hint="eastAsia"/>
          <w:lang w:eastAsia="zh-CN"/>
        </w:rPr>
        <w:t>（</w:t>
      </w:r>
      <w:r>
        <w:t>2</w:t>
      </w:r>
      <w:r>
        <w:rPr>
          <w:rFonts w:hint="eastAsia"/>
          <w:lang w:eastAsia="zh-CN"/>
        </w:rPr>
        <w:t>）</w:t>
      </w:r>
      <w:r>
        <w:t>分析图中沙洲的形成原因。</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绘图如下：</w:t>
      </w:r>
    </w:p>
    <w:p>
      <w:pPr>
        <w:spacing w:line="360" w:lineRule="auto"/>
        <w:jc w:val="center"/>
        <w:textAlignment w:val="center"/>
        <w:rPr>
          <w:color w:val="FF0000"/>
        </w:rPr>
      </w:pPr>
      <w:r>
        <w:rPr>
          <w:color w:val="FF0000"/>
        </w:rPr>
        <w:drawing>
          <wp:inline distT="0" distB="0" distL="114300" distR="114300">
            <wp:extent cx="3447415" cy="1375410"/>
            <wp:effectExtent l="0" t="0" r="635" b="1524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3"/>
                    <a:stretch>
                      <a:fillRect/>
                    </a:stretch>
                  </pic:blipFill>
                  <pic:spPr>
                    <a:xfrm>
                      <a:off x="0" y="0"/>
                      <a:ext cx="3447415" cy="1375410"/>
                    </a:xfrm>
                    <a:prstGeom prst="rect">
                      <a:avLst/>
                    </a:prstGeom>
                  </pic:spPr>
                </pic:pic>
              </a:graphicData>
            </a:graphic>
          </wp:inline>
        </w:drawing>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支流含沙量较大；支流在交汇处位于干流凹岸，水位较高，对支流来水顶托作用较明显，流速较小，泥沙容易淤积，形成沙洲。</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由图可知，丰水期时水流速度快，A岸为侵蚀岸，受流水的侵蚀作用强，坡度较大，B岸为堆积岸，泥沙堆积，坡度缓。水流到达A处后受到阻挡，部分水流转向经河底把部分泥沙带到B处堆积，形成了局部的河流截面环流。如图所示：</w:t>
      </w:r>
    </w:p>
    <w:p>
      <w:pPr>
        <w:spacing w:line="360" w:lineRule="auto"/>
        <w:jc w:val="center"/>
        <w:textAlignment w:val="center"/>
        <w:rPr>
          <w:color w:val="FF0000"/>
        </w:rPr>
      </w:pPr>
      <w:r>
        <w:rPr>
          <w:color w:val="FF0000"/>
        </w:rPr>
        <w:drawing>
          <wp:inline distT="0" distB="0" distL="114300" distR="114300">
            <wp:extent cx="3575050" cy="1433195"/>
            <wp:effectExtent l="0" t="0" r="6350" b="1460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3"/>
                    <a:stretch>
                      <a:fillRect/>
                    </a:stretch>
                  </pic:blipFill>
                  <pic:spPr>
                    <a:xfrm>
                      <a:off x="0" y="0"/>
                      <a:ext cx="3575050" cy="1433195"/>
                    </a:xfrm>
                    <a:prstGeom prst="rect">
                      <a:avLst/>
                    </a:prstGeom>
                  </pic:spPr>
                </pic:pic>
              </a:graphicData>
            </a:graphic>
          </wp:inline>
        </w:drawing>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根据所学知识，沙洲是河流携带的泥沙堆积形成的。结合图示，该沙洲位于支流汇入干流的部分，可见形成该沙洲的泥沙来自支流。支流含沙量较大，河流丰水期时干流水位较高，对支流来水起顶托作用较明显，导致支流流速较小，携带泥沙的能力下降，泥沙容易在支流入干流处淤积，形成沙洲。</w:t>
      </w:r>
    </w:p>
    <w:p>
      <w:pPr>
        <w:spacing w:line="360" w:lineRule="auto"/>
        <w:jc w:val="left"/>
        <w:textAlignment w:val="center"/>
      </w:pPr>
      <w:r>
        <w:t>7．阅读图文材料，完成下列要求。</w:t>
      </w:r>
    </w:p>
    <w:p>
      <w:pPr>
        <w:spacing w:line="360" w:lineRule="auto"/>
        <w:ind w:firstLine="420"/>
        <w:jc w:val="left"/>
        <w:textAlignment w:val="center"/>
        <w:rPr>
          <w:rFonts w:ascii="楷体" w:hAnsi="楷体" w:eastAsia="楷体" w:cs="楷体"/>
        </w:rPr>
      </w:pPr>
      <w:r>
        <w:rPr>
          <w:rFonts w:ascii="楷体" w:hAnsi="楷体" w:eastAsia="楷体" w:cs="楷体"/>
        </w:rPr>
        <w:t>咸海地处中亚，是阿姆河和锡尔河的尾间湖（河流尾部形成的湖泊）。1987年咸海分裂为南部的南咸海和北部的北咸海，2005年竣工的科卡拉尔大坝，将南咸海和北咸海完全分离。2006年，南成海再次分裂为东咸海和西咸海。1990～2019年间，咸海水量减少了约75.15%，水域面积的急剧萎缩使得湖泊系统平衡失调，生态危机愈演愈烈。图甲示意咸海地理位置，图乙示意1990～2019年南北咸海水位和水量变化。</w:t>
      </w:r>
    </w:p>
    <w:p>
      <w:pPr>
        <w:spacing w:line="360" w:lineRule="auto"/>
        <w:jc w:val="center"/>
        <w:textAlignment w:val="center"/>
      </w:pPr>
      <w:r>
        <w:drawing>
          <wp:inline distT="0" distB="0" distL="114300" distR="114300">
            <wp:extent cx="5276850" cy="268605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4"/>
                    <a:stretch>
                      <a:fillRect/>
                    </a:stretch>
                  </pic:blipFill>
                  <pic:spPr>
                    <a:xfrm>
                      <a:off x="0" y="0"/>
                      <a:ext cx="5276850" cy="2686050"/>
                    </a:xfrm>
                    <a:prstGeom prst="rect">
                      <a:avLst/>
                    </a:prstGeom>
                  </pic:spPr>
                </pic:pic>
              </a:graphicData>
            </a:graphic>
          </wp:inline>
        </w:drawing>
      </w:r>
    </w:p>
    <w:p>
      <w:pPr>
        <w:spacing w:line="360" w:lineRule="auto"/>
        <w:jc w:val="left"/>
        <w:textAlignment w:val="center"/>
      </w:pPr>
      <w:r>
        <w:rPr>
          <w:rFonts w:hint="eastAsia"/>
          <w:lang w:eastAsia="zh-CN"/>
        </w:rPr>
        <w:t>（</w:t>
      </w:r>
      <w:r>
        <w:t>1</w:t>
      </w:r>
      <w:r>
        <w:rPr>
          <w:rFonts w:hint="eastAsia"/>
          <w:lang w:eastAsia="zh-CN"/>
        </w:rPr>
        <w:t>）</w:t>
      </w:r>
      <w:r>
        <w:t>据图描述咸海的地形地势特征。</w:t>
      </w:r>
    </w:p>
    <w:p>
      <w:pPr>
        <w:spacing w:line="360" w:lineRule="auto"/>
        <w:jc w:val="left"/>
        <w:textAlignment w:val="center"/>
      </w:pPr>
      <w:r>
        <w:rPr>
          <w:rFonts w:hint="eastAsia"/>
          <w:lang w:eastAsia="zh-CN"/>
        </w:rPr>
        <w:t>（</w:t>
      </w:r>
      <w:r>
        <w:t>2</w:t>
      </w:r>
      <w:r>
        <w:rPr>
          <w:rFonts w:hint="eastAsia"/>
          <w:lang w:eastAsia="zh-CN"/>
        </w:rPr>
        <w:t>）</w:t>
      </w:r>
      <w:r>
        <w:t>简述科卡拉尔大坝的修建对北咸海的有利影响。</w:t>
      </w:r>
    </w:p>
    <w:p>
      <w:pPr>
        <w:spacing w:line="360" w:lineRule="auto"/>
        <w:jc w:val="left"/>
        <w:textAlignment w:val="center"/>
      </w:pPr>
      <w:r>
        <w:rPr>
          <w:rFonts w:hint="eastAsia"/>
          <w:lang w:eastAsia="zh-CN"/>
        </w:rPr>
        <w:t>（</w:t>
      </w:r>
      <w:r>
        <w:t>3</w:t>
      </w:r>
      <w:r>
        <w:rPr>
          <w:rFonts w:hint="eastAsia"/>
          <w:lang w:eastAsia="zh-CN"/>
        </w:rPr>
        <w:t>）</w:t>
      </w:r>
      <w:r>
        <w:t>指出1990～2019年南咸海、北咸海水位和水量变化的差异，并分析原因。</w:t>
      </w:r>
    </w:p>
    <w:p>
      <w:pPr>
        <w:spacing w:line="360" w:lineRule="auto"/>
        <w:jc w:val="left"/>
        <w:textAlignment w:val="center"/>
      </w:pPr>
      <w:r>
        <w:rPr>
          <w:rFonts w:hint="eastAsia"/>
          <w:lang w:eastAsia="zh-CN"/>
        </w:rPr>
        <w:t>（</w:t>
      </w:r>
      <w:r>
        <w:t>4</w:t>
      </w:r>
      <w:r>
        <w:rPr>
          <w:rFonts w:hint="eastAsia"/>
          <w:lang w:eastAsia="zh-CN"/>
        </w:rPr>
        <w:t>）</w:t>
      </w:r>
      <w:r>
        <w:t>说明咸海水域面积萎缩可能给湖区和周边地区带来的生态危机。</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整体东高西低；北岸地势高低不平，东岸和南岸地势较平坦。</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北咸海的水量增加，水位升高；北咸海面积增大，湖泊的生态功能增强；北咸海自净能力增强，水质改善；北咸海及其周边地区的生态环境得到改善，生物多样性增加等。</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差异：南咸海水位下降，水量减少，且变化幅度较大；北咸海水位和水量变化较小。原因：南咸海南部分布有大面积的灌区，灌区大量引水灌溉，入湖水量大量减少；北咸海受科卡拉尔大坝的影响，水量变化较平稳等。</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湖床裸露，周边地区受风沙威胁频率增大；湖泊调节气候能力下降，加剧干旱；湖水盐度增加，水质恶化；渔业资源减少，生物多样性减少等。</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根据图中高程的数据可知，咸海的地形地势特征大致是东高西低；其中，北岸地区的地势起伏较大；南岸地区的地势较为平坦，地势起伏较小。</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根据图示信息可知，北咸海的水位高于南咸海，科卡拉尔大坝修建之后，可以减少北咸海湖水补给南咸海，会导致北咸海水量增加，水位上升；北咸海的水域面积增大，湖泊生物多样性增加，生态系统更加良好；北咸海河流注入径流，自净能力增强，水质得到改善；水域面积扩大，会改善湖泊沿岸地区的生态环境，湿生生物多样性增加等。</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根据图示信息可知，南咸海的水位和水量年际变化较大，北咸海水位和水量的年际变化较小。根据所学知识可知，南咸海周边地区有大量的灌溉农业，农业用水量大，会截留大量的入湖径流量，导致入湖径流量减少；科卡拉尔大坝修建之后，会导致北咸海注入南咸海的水量减少，导致南咸海的水量和水位变化加大；北咸海受科卡拉尔大坝的影响，导致湖泊流出的水量减少，湖泊水位和水量的变化较为平稳。</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湖泊面积萎缩之后，会导致湖床裸露，为风沙活动提供大量沙源，使得周边地区遭受风沙活动威胁的程度加大；湖泊面积减少，导致湖泊调节气候的能力降低，区域气候更加干旱；湖泊面积萎缩会导致湖水盐度升高，水质恶化；会加剧周边地区的盐碱化程度；湖泊周围湿生动植物生存面积减小，导致生物多样性减少，生态系统受到影响等。</w:t>
      </w:r>
    </w:p>
    <w:p>
      <w:pPr>
        <w:spacing w:line="360" w:lineRule="auto"/>
        <w:jc w:val="left"/>
        <w:textAlignment w:val="center"/>
      </w:pPr>
      <w:r>
        <w:t>8．阅读图文材料，完成下列要求。</w:t>
      </w:r>
    </w:p>
    <w:p>
      <w:pPr>
        <w:spacing w:line="360" w:lineRule="auto"/>
        <w:ind w:firstLine="420"/>
        <w:jc w:val="left"/>
        <w:textAlignment w:val="center"/>
        <w:rPr>
          <w:rFonts w:ascii="楷体" w:hAnsi="楷体" w:eastAsia="楷体" w:cs="楷体"/>
        </w:rPr>
      </w:pPr>
      <w:r>
        <w:rPr>
          <w:rFonts w:ascii="楷体" w:hAnsi="楷体" w:eastAsia="楷体" w:cs="楷体"/>
        </w:rPr>
        <w:t>材料一：茶叶一般生长在热带及亚热带湿润地区，以排水良好的酸性土壤为佳。福建省茶叶种植历史悠久，拥有大小茶企</w:t>
      </w:r>
      <w:r>
        <w:t>7000</w:t>
      </w:r>
      <w:r>
        <w:rPr>
          <w:rFonts w:ascii="楷体" w:hAnsi="楷体" w:eastAsia="楷体" w:cs="楷体"/>
        </w:rPr>
        <w:t>多家，部分实力较强的茶企在国内建立品牌连锁店，连锁店使用相同的广告宣传、店面装修、商品陈列，连锁店实行统一采购、统一配送、统一价格、统一营销的模式。</w:t>
      </w:r>
    </w:p>
    <w:p>
      <w:pPr>
        <w:spacing w:line="360" w:lineRule="auto"/>
        <w:ind w:firstLine="420"/>
        <w:jc w:val="left"/>
        <w:textAlignment w:val="center"/>
        <w:rPr>
          <w:rFonts w:ascii="楷体" w:hAnsi="楷体" w:eastAsia="楷体" w:cs="楷体"/>
        </w:rPr>
      </w:pPr>
      <w:r>
        <w:rPr>
          <w:rFonts w:ascii="楷体" w:hAnsi="楷体" w:eastAsia="楷体" w:cs="楷体"/>
        </w:rPr>
        <w:t>材料二：在“一带一路”战略背景下，福建茶叶出口发生重大且实质性的变化。国际市场的激烈竞争，给福建茶企带来了机遇和挑战。</w:t>
      </w:r>
    </w:p>
    <w:p>
      <w:pPr>
        <w:spacing w:line="360" w:lineRule="auto"/>
        <w:ind w:firstLine="420"/>
        <w:jc w:val="left"/>
        <w:textAlignment w:val="center"/>
        <w:rPr>
          <w:rFonts w:ascii="楷体" w:hAnsi="楷体" w:eastAsia="楷体" w:cs="楷体"/>
        </w:rPr>
      </w:pPr>
      <w:r>
        <w:rPr>
          <w:rFonts w:ascii="楷体" w:hAnsi="楷体" w:eastAsia="楷体" w:cs="楷体"/>
        </w:rPr>
        <w:t>材料三：福建省茶叶产区分布图。（下图）</w:t>
      </w:r>
    </w:p>
    <w:p>
      <w:pPr>
        <w:spacing w:line="360" w:lineRule="auto"/>
        <w:jc w:val="center"/>
        <w:textAlignment w:val="center"/>
      </w:pPr>
      <w:r>
        <w:drawing>
          <wp:inline distT="0" distB="0" distL="114300" distR="114300">
            <wp:extent cx="3395980" cy="2533015"/>
            <wp:effectExtent l="0" t="0" r="13970" b="63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5"/>
                    <a:stretch>
                      <a:fillRect/>
                    </a:stretch>
                  </pic:blipFill>
                  <pic:spPr>
                    <a:xfrm>
                      <a:off x="0" y="0"/>
                      <a:ext cx="3395980" cy="2533015"/>
                    </a:xfrm>
                    <a:prstGeom prst="rect">
                      <a:avLst/>
                    </a:prstGeom>
                  </pic:spPr>
                </pic:pic>
              </a:graphicData>
            </a:graphic>
          </wp:inline>
        </w:drawing>
      </w:r>
    </w:p>
    <w:p>
      <w:pPr>
        <w:spacing w:line="360" w:lineRule="auto"/>
        <w:jc w:val="left"/>
        <w:textAlignment w:val="center"/>
      </w:pPr>
      <w:r>
        <w:rPr>
          <w:rFonts w:hint="eastAsia"/>
          <w:lang w:eastAsia="zh-CN"/>
        </w:rPr>
        <w:t>（</w:t>
      </w:r>
      <w:r>
        <w:t>1</w:t>
      </w:r>
      <w:r>
        <w:rPr>
          <w:rFonts w:hint="eastAsia"/>
          <w:lang w:eastAsia="zh-CN"/>
        </w:rPr>
        <w:t>）</w:t>
      </w:r>
      <w:r>
        <w:t>据图描述福建茶叶产区空间分布特征。</w:t>
      </w:r>
    </w:p>
    <w:p>
      <w:pPr>
        <w:spacing w:line="360" w:lineRule="auto"/>
        <w:jc w:val="left"/>
        <w:textAlignment w:val="center"/>
      </w:pPr>
      <w:r>
        <w:rPr>
          <w:rFonts w:hint="eastAsia"/>
          <w:lang w:eastAsia="zh-CN"/>
        </w:rPr>
        <w:t>（</w:t>
      </w:r>
      <w:r>
        <w:t>2</w:t>
      </w:r>
      <w:r>
        <w:rPr>
          <w:rFonts w:hint="eastAsia"/>
          <w:lang w:eastAsia="zh-CN"/>
        </w:rPr>
        <w:t>）</w:t>
      </w:r>
      <w:r>
        <w:t>简析福建省种植茶叶的有利自然条件。</w:t>
      </w:r>
    </w:p>
    <w:p>
      <w:pPr>
        <w:spacing w:line="360" w:lineRule="auto"/>
        <w:jc w:val="left"/>
        <w:textAlignment w:val="center"/>
      </w:pPr>
      <w:r>
        <w:rPr>
          <w:rFonts w:hint="eastAsia"/>
          <w:lang w:eastAsia="zh-CN"/>
        </w:rPr>
        <w:t>（</w:t>
      </w:r>
      <w:r>
        <w:t>3</w:t>
      </w:r>
      <w:r>
        <w:rPr>
          <w:rFonts w:hint="eastAsia"/>
          <w:lang w:eastAsia="zh-CN"/>
        </w:rPr>
        <w:t>）</w:t>
      </w:r>
      <w:r>
        <w:t>说明福建茶企采用品牌连锁销售模式的作用。</w:t>
      </w:r>
    </w:p>
    <w:p>
      <w:pPr>
        <w:spacing w:line="360" w:lineRule="auto"/>
        <w:jc w:val="left"/>
        <w:textAlignment w:val="center"/>
      </w:pPr>
      <w:r>
        <w:rPr>
          <w:rFonts w:hint="eastAsia"/>
          <w:lang w:eastAsia="zh-CN"/>
        </w:rPr>
        <w:t>（</w:t>
      </w:r>
      <w:r>
        <w:t>4</w:t>
      </w:r>
      <w:r>
        <w:rPr>
          <w:rFonts w:hint="eastAsia"/>
          <w:lang w:eastAsia="zh-CN"/>
        </w:rPr>
        <w:t>）</w:t>
      </w:r>
      <w:r>
        <w:t>简述“一带一路”战略给福建茶企带来的机遇。</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分布不均匀；主要分布在低山丘陵地区；主要分布在北部和中部地区。</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位于亚热带季风气候区，降水丰富，气候湿润；土壤呈酸性；多低山丘陵，适宜种植的区域面积广；且利于排水。</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连锁店的广告宣传、店面装修等相同，有利于降低销售成本，提高利润；采购、配送等统一，可节省劳动力成本和时间成本，能吸引更多的加盟者；品牌连锁销售模式利于增强产品市场竞争力，扩大市场，提高销量；</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利于开拓海外销售市场；利于创设国际品牌，提高福建茶企在国外的知名度；利于扩大福建茶企的生产规模；利于茶企生产技术的革新，提升茶叶质量；利于与沿线国家交流与合作。</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据图回答。读福建省茶叶产区分布图可知，茶叶产区在图中用阴影表示，整体来看，没有分布在一起，分布不均匀；主要分布在福建省北部和中部；该处等高线密集，海拔大概在500米左右，为低山丘陵区。</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福建省种植茶叶的有利自然条件可以从地形、气候、水文条件、土壤等方面分析。福建位干我国东南沿海地区，为亚热带季风气候，气候温暖湿润，降水丰富；冬季受寒潮影响较小，气温较高；且茶树多分布于低山丘陵，排水良好，适宜茶树种植；土壤以酸性红壤为主，适宜茶树生长；丘陵地区空气湿度大，云雾多，有利于优质茶叶生产。</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从材料入手分析。材料“部分实力较强的茶企在国内建立品牌连锁店，连锁店使用相同的广告宣传、店面装修、商品陈列，连锁店实行统一采购、统一配送、统一价格、统一营销的模式”可知，连锁店的广告宣传、店面装修、商品陈列相同，有利于降低销售成本，提高利润；连锁店实行统一采购、统一配送，可以节省劳动力成本和时间成本，以此吸引更多的加盟者；连锁店实行统一价格、统一营销可以防止价格乱象的出现，利于树立品牌形象，增强产品的市场竞争力，扩大市场，提高销量。</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可以从“一带一路”战略的意义来入手作答。“一带一路”战略利于福建茶企开拓海外销售市场；进而扩大福建茶企的生产规模；提高福建茶企在国外的知名度；在国际市场的激烈竞争中打磨，利于茶企生产技术的革新，以提升茶叶质量；利于与沿线国家交流与合作。</w:t>
      </w:r>
    </w:p>
    <w:p>
      <w:pPr>
        <w:spacing w:line="360" w:lineRule="auto"/>
        <w:jc w:val="left"/>
        <w:textAlignment w:val="center"/>
      </w:pPr>
      <w:r>
        <w:t>9．阅读图文材料,回答下列问题。</w:t>
      </w:r>
    </w:p>
    <w:p>
      <w:pPr>
        <w:spacing w:line="360" w:lineRule="auto"/>
        <w:ind w:firstLine="420"/>
        <w:jc w:val="left"/>
        <w:textAlignment w:val="center"/>
        <w:rPr>
          <w:rFonts w:ascii="楷体" w:hAnsi="楷体" w:eastAsia="楷体" w:cs="楷体"/>
        </w:rPr>
      </w:pPr>
      <w:r>
        <w:rPr>
          <w:rFonts w:ascii="楷体" w:hAnsi="楷体" w:eastAsia="楷体" w:cs="楷体"/>
        </w:rPr>
        <w:t>自然状态下,植物根系的生长受地形及水分、养分、土壤性状等地理要索影响。寒假期间，我国南方某中学地理研学小组开展活动。研学记录中描述到:......乔木并不太高,其根系在地四周面匐伸展，且随处可见。下左图为当地植物根系生长状况景观图,下右图为活动区域等高线地形图。</w:t>
      </w:r>
    </w:p>
    <w:p>
      <w:pPr>
        <w:spacing w:line="360" w:lineRule="auto"/>
        <w:jc w:val="center"/>
        <w:textAlignment w:val="center"/>
      </w:pPr>
      <w:r>
        <w:drawing>
          <wp:inline distT="0" distB="0" distL="114300" distR="114300">
            <wp:extent cx="2505075" cy="1828800"/>
            <wp:effectExtent l="0" t="0" r="9525"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6"/>
                    <a:stretch>
                      <a:fillRect/>
                    </a:stretch>
                  </pic:blipFill>
                  <pic:spPr>
                    <a:xfrm>
                      <a:off x="0" y="0"/>
                      <a:ext cx="2505075" cy="1828800"/>
                    </a:xfrm>
                    <a:prstGeom prst="rect">
                      <a:avLst/>
                    </a:prstGeom>
                  </pic:spPr>
                </pic:pic>
              </a:graphicData>
            </a:graphic>
          </wp:inline>
        </w:drawing>
      </w:r>
      <w:r>
        <w:drawing>
          <wp:inline distT="0" distB="0" distL="114300" distR="114300">
            <wp:extent cx="3943350" cy="23241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7"/>
                    <a:stretch>
                      <a:fillRect/>
                    </a:stretch>
                  </pic:blipFill>
                  <pic:spPr>
                    <a:xfrm>
                      <a:off x="0" y="0"/>
                      <a:ext cx="3943350" cy="2324100"/>
                    </a:xfrm>
                    <a:prstGeom prst="rect">
                      <a:avLst/>
                    </a:prstGeom>
                  </pic:spPr>
                </pic:pic>
              </a:graphicData>
            </a:graphic>
          </wp:inline>
        </w:drawing>
      </w:r>
    </w:p>
    <w:p>
      <w:pPr>
        <w:spacing w:line="360" w:lineRule="auto"/>
        <w:jc w:val="left"/>
        <w:textAlignment w:val="center"/>
      </w:pPr>
      <w:r>
        <w:rPr>
          <w:rFonts w:hint="eastAsia"/>
          <w:lang w:eastAsia="zh-CN"/>
        </w:rPr>
        <w:t>（</w:t>
      </w:r>
      <w:r>
        <w:t>1</w:t>
      </w:r>
      <w:r>
        <w:rPr>
          <w:rFonts w:hint="eastAsia"/>
          <w:lang w:eastAsia="zh-CN"/>
        </w:rPr>
        <w:t>）</w:t>
      </w:r>
      <w:r>
        <w:t>请为此次研学活动拟定一个合适的主题。</w:t>
      </w:r>
    </w:p>
    <w:p>
      <w:pPr>
        <w:spacing w:line="360" w:lineRule="auto"/>
        <w:jc w:val="left"/>
        <w:textAlignment w:val="center"/>
      </w:pPr>
      <w:r>
        <w:rPr>
          <w:rFonts w:hint="eastAsia"/>
          <w:lang w:eastAsia="zh-CN"/>
        </w:rPr>
        <w:t>（</w:t>
      </w:r>
      <w:r>
        <w:t>2</w:t>
      </w:r>
      <w:r>
        <w:rPr>
          <w:rFonts w:hint="eastAsia"/>
          <w:lang w:eastAsia="zh-CN"/>
        </w:rPr>
        <w:t>）</w:t>
      </w:r>
      <w:r>
        <w:t>在等高线地形图中用“</w:t>
      </w:r>
      <w:r>
        <w:drawing>
          <wp:inline distT="0" distB="0" distL="114300" distR="114300">
            <wp:extent cx="142875" cy="190500"/>
            <wp:effectExtent l="0" t="0" r="9525"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8"/>
                    <a:stretch>
                      <a:fillRect/>
                    </a:stretch>
                  </pic:blipFill>
                  <pic:spPr>
                    <a:xfrm>
                      <a:off x="0" y="0"/>
                      <a:ext cx="142875" cy="190500"/>
                    </a:xfrm>
                    <a:prstGeom prst="rect">
                      <a:avLst/>
                    </a:prstGeom>
                  </pic:spPr>
                </pic:pic>
              </a:graphicData>
            </a:graphic>
          </wp:inline>
        </w:drawing>
      </w:r>
      <w:r>
        <w:t>”标注出此景观的大致范围,并说明判断理由。</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植被相关考察、土壤相关观察；其他如茶园考察、古民居考察等得。</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drawing>
          <wp:inline distT="0" distB="0" distL="114300" distR="114300">
            <wp:extent cx="4105275" cy="2438400"/>
            <wp:effectExtent l="0" t="0" r="9525"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9"/>
                    <a:stretch>
                      <a:fillRect/>
                    </a:stretch>
                  </pic:blipFill>
                  <pic:spPr>
                    <a:xfrm>
                      <a:off x="0" y="0"/>
                      <a:ext cx="4105275" cy="2438400"/>
                    </a:xfrm>
                    <a:prstGeom prst="rect">
                      <a:avLst/>
                    </a:prstGeom>
                  </pic:spPr>
                </pic:pic>
              </a:graphicData>
            </a:graphic>
          </wp:inline>
        </w:drawing>
      </w:r>
      <w:r>
        <w:rPr>
          <w:rFonts w:ascii="'Times New Roman'" w:hAnsi="'Times New Roman'" w:eastAsia="'Times New Roman'" w:cs="'Times New Roman'"/>
          <w:color w:val="FF0000"/>
        </w:rPr>
        <w:t>   </w:t>
      </w:r>
      <w:r>
        <w:rPr>
          <w:color w:val="FF0000"/>
        </w:rPr>
        <w:t>判断理由：海拔高，土层薄，水分和养分主要集中于表层土壤，植物根系以横向生长为主；坡度较缓，利于根系向西周匍匐伸展；降水丰富，土壤侵蚀强，根部易裸露。</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从材料中信息可知，研学记录中描述到:......乔木并不太高,其根系在地四周面匐伸展，且随处可见，说明研学考查的一项重要内容是植被、另外还涉及土壤。由于该地在我国南方地区，还可以进行茶园参观、传统民居的考查。因此研学考查的主题有：植被相关考察、土壤相关观察；其他如茶园考察、古民居考察等。</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从景观图中可以看出该树种的根系较浅，且横向发展，说明生长环境中的土层较薄，应该在该区域的高海拔区；从图中还可以看出树木生长在缓坡上，根系可以匍匐在地；根系裸露在外，说明该地受雨水的侵蚀作用强，因此该景观图应该处于高海拔缓坡区，如图所示。</w:t>
      </w:r>
    </w:p>
    <w:p>
      <w:pPr>
        <w:spacing w:line="360" w:lineRule="auto"/>
        <w:jc w:val="left"/>
        <w:textAlignment w:val="center"/>
      </w:pPr>
      <w:r>
        <w:t>10．阅读图文资料，回答下列问题。</w:t>
      </w:r>
    </w:p>
    <w:p>
      <w:pPr>
        <w:spacing w:line="360" w:lineRule="auto"/>
        <w:jc w:val="center"/>
        <w:textAlignment w:val="center"/>
      </w:pPr>
      <w:r>
        <w:drawing>
          <wp:inline distT="0" distB="0" distL="114300" distR="114300">
            <wp:extent cx="3943350" cy="2442845"/>
            <wp:effectExtent l="0" t="0" r="0" b="1460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0"/>
                    <a:stretch>
                      <a:fillRect/>
                    </a:stretch>
                  </pic:blipFill>
                  <pic:spPr>
                    <a:xfrm>
                      <a:off x="0" y="0"/>
                      <a:ext cx="3943350" cy="2442845"/>
                    </a:xfrm>
                    <a:prstGeom prst="rect">
                      <a:avLst/>
                    </a:prstGeom>
                  </pic:spPr>
                </pic:pic>
              </a:graphicData>
            </a:graphic>
          </wp:inline>
        </w:drawing>
      </w:r>
    </w:p>
    <w:p>
      <w:pPr>
        <w:spacing w:line="360" w:lineRule="auto"/>
        <w:jc w:val="left"/>
        <w:textAlignment w:val="center"/>
      </w:pPr>
      <w:r>
        <w:rPr>
          <w:rFonts w:hint="eastAsia"/>
          <w:lang w:eastAsia="zh-CN"/>
        </w:rPr>
        <w:t>（</w:t>
      </w:r>
      <w:r>
        <w:t>1</w:t>
      </w:r>
      <w:r>
        <w:rPr>
          <w:rFonts w:hint="eastAsia"/>
          <w:lang w:eastAsia="zh-CN"/>
        </w:rPr>
        <w:t>）</w:t>
      </w:r>
      <w:r>
        <w:t>据图可知，肯尼亚主要地形类型为。</w:t>
      </w:r>
    </w:p>
    <w:p>
      <w:pPr>
        <w:spacing w:line="360" w:lineRule="auto"/>
        <w:ind w:firstLine="420"/>
        <w:jc w:val="left"/>
        <w:textAlignment w:val="center"/>
        <w:rPr>
          <w:rFonts w:ascii="楷体" w:hAnsi="楷体" w:eastAsia="楷体" w:cs="楷体"/>
        </w:rPr>
      </w:pPr>
      <w:r>
        <w:rPr>
          <w:rFonts w:ascii="楷体" w:hAnsi="楷体" w:eastAsia="楷体" w:cs="楷体"/>
        </w:rPr>
        <w:t>肯尼亚是非洲主要牛油果生产国。牛油果具有喜光，喜温湿，怕涝等特点，适宜生长于年均温为20-25°C的地区。</w:t>
      </w:r>
    </w:p>
    <w:p>
      <w:pPr>
        <w:spacing w:line="360" w:lineRule="auto"/>
        <w:jc w:val="left"/>
        <w:textAlignment w:val="center"/>
      </w:pPr>
      <w:r>
        <w:rPr>
          <w:rFonts w:hint="eastAsia"/>
          <w:lang w:eastAsia="zh-CN"/>
        </w:rPr>
        <w:t>（</w:t>
      </w:r>
      <w:r>
        <w:t>2</w:t>
      </w:r>
      <w:r>
        <w:rPr>
          <w:rFonts w:hint="eastAsia"/>
          <w:lang w:eastAsia="zh-CN"/>
        </w:rPr>
        <w:t>）</w:t>
      </w:r>
      <w:r>
        <w:t>结合牛油果生长习性，分析图中甲区域种植牛油果的有利地形条件。</w:t>
      </w:r>
    </w:p>
    <w:p>
      <w:pPr>
        <w:spacing w:line="360" w:lineRule="auto"/>
        <w:ind w:firstLine="420"/>
        <w:jc w:val="left"/>
        <w:textAlignment w:val="center"/>
        <w:rPr>
          <w:rFonts w:ascii="楷体" w:hAnsi="楷体" w:eastAsia="楷体" w:cs="楷体"/>
        </w:rPr>
      </w:pPr>
      <w:r>
        <w:rPr>
          <w:rFonts w:ascii="楷体" w:hAnsi="楷体" w:eastAsia="楷体" w:cs="楷体"/>
        </w:rPr>
        <w:t>图尔卡纳湖是肯尼亚最大的内陆湖，也是世界上较大的咸水湖之一。</w:t>
      </w:r>
    </w:p>
    <w:p>
      <w:pPr>
        <w:spacing w:line="360" w:lineRule="auto"/>
        <w:jc w:val="left"/>
        <w:textAlignment w:val="center"/>
      </w:pPr>
      <w:r>
        <w:rPr>
          <w:rFonts w:hint="eastAsia"/>
          <w:lang w:eastAsia="zh-CN"/>
        </w:rPr>
        <w:t>（</w:t>
      </w:r>
      <w:r>
        <w:t>3</w:t>
      </w:r>
      <w:r>
        <w:rPr>
          <w:rFonts w:hint="eastAsia"/>
          <w:lang w:eastAsia="zh-CN"/>
        </w:rPr>
        <w:t>）</w:t>
      </w:r>
      <w:r>
        <w:t>说明图尔卡纳湖盐度较高的原因。</w:t>
      </w:r>
    </w:p>
    <w:p>
      <w:pPr>
        <w:spacing w:line="360" w:lineRule="auto"/>
        <w:ind w:firstLine="420"/>
        <w:jc w:val="left"/>
        <w:textAlignment w:val="center"/>
        <w:rPr>
          <w:rFonts w:ascii="楷体" w:hAnsi="楷体" w:eastAsia="楷体" w:cs="楷体"/>
        </w:rPr>
      </w:pPr>
      <w:r>
        <w:rPr>
          <w:rFonts w:ascii="楷体" w:hAnsi="楷体" w:eastAsia="楷体" w:cs="楷体"/>
        </w:rPr>
        <w:t>中国某知名陶瓷企业在肯尼亚投资设厂，釆用“中国资本+中国制式（标准）+非洲生产"的发展模式，服务肯尼亚陶瓷市场。</w:t>
      </w:r>
    </w:p>
    <w:p>
      <w:pPr>
        <w:spacing w:line="360" w:lineRule="auto"/>
        <w:jc w:val="left"/>
        <w:textAlignment w:val="center"/>
      </w:pPr>
      <w:r>
        <w:rPr>
          <w:rFonts w:hint="eastAsia"/>
          <w:lang w:eastAsia="zh-CN"/>
        </w:rPr>
        <w:t>（</w:t>
      </w:r>
      <w:r>
        <w:t>4</w:t>
      </w:r>
      <w:r>
        <w:rPr>
          <w:rFonts w:hint="eastAsia"/>
          <w:lang w:eastAsia="zh-CN"/>
        </w:rPr>
        <w:t>）</w:t>
      </w:r>
      <w:r>
        <w:t>分析"中国资本+中国制式（标准）+非洲生产”的发展模式对肯尼亚陶瓷产业的积极影响。</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高原</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低纬热带海拔较高，气候凉爽，符合年均温20-25℃，适于生长；海拔较高，空气稀薄，光照充足，昼夜温差大，有利于有机质的积累；地形存在一定坡度，利于排水；相对高度大，气温的垂直差异较大，不同海拔可以错季生产/收获。</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地处东非高原，蒸发作用强，降水少；湖泊没有淡水河流的流入流出，水中含盐高。</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由中国提供资金，有利于缓解肯尼亚资金不足的问题；中国制式保证生产标准，有利于提高产品质量（市场竞争力）；当地生产，有利于降低生产成本（劳动力、土地、原料成本）/临近消费市场，有利于降低运输成本。</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读图分析，肯尼亚大部分地区海拔在500米以上，地势较高，但地势起伏较小，可知主要地形类型为高原。</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根据材料“牛油果具有喜光，喜温湿，怕涝等特点，适宜生长于年均温为20-25°C的地区”读图分析，甲区域海拔较高，空气稀薄，光照充足，并且昼夜温差大，有利于牛油果有机质的积累；该区域纬度低，海拔高，气候比较凉爽，气候湿润，能够满足牛油果生长对气温的要求；地形存在一定坡度，有利于排水，减少渍涝；地势起伏较大，气温的垂直差异较大，有利于实现不同海拔的错季生产，延长上市时间。</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图尔卡纳湖盐度较高的原因可以从水循环的角度进行分析。读图可知，该湖地处东非高原，位于热带，降水量较少，但蒸发旺盛；由材料可知，该湖泊属于内流湖，没有淡水河流的流入流出，盐分难以排除，在湖泊中不断积累。</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中国资本+中国制式（标准）+非洲生产”的发展模式对肯尼亚陶瓷产业的积极影响可以从产业链构建的角度进行分析。“中国资本”即由中国提供资金，有利于环境肯尼亚陶瓷产业发展资金不足的问题；“中国制式（标准）”即按中国的标准进行生产，有利于保证生产标准，保证产品的品质，提高市场竞争力；“非洲生产”即在当地进行生产，有利于充分利用当地廉价的土地、劳动力和丰富的原料，降低生产成本，并且接近消费市场，可以降低运输成本。</w:t>
      </w:r>
    </w:p>
    <w:p>
      <w:pPr>
        <w:spacing w:line="360" w:lineRule="auto"/>
        <w:jc w:val="left"/>
        <w:textAlignment w:val="center"/>
      </w:pPr>
      <w:r>
        <w:t>11．阅读图文材料，完成下列要求。</w:t>
      </w:r>
    </w:p>
    <w:p>
      <w:pPr>
        <w:spacing w:line="360" w:lineRule="auto"/>
        <w:ind w:firstLine="420"/>
        <w:jc w:val="left"/>
        <w:textAlignment w:val="center"/>
        <w:rPr>
          <w:rFonts w:ascii="楷体" w:hAnsi="楷体" w:eastAsia="楷体" w:cs="楷体"/>
        </w:rPr>
      </w:pPr>
      <w:r>
        <w:rPr>
          <w:rFonts w:ascii="楷体" w:hAnsi="楷体" w:eastAsia="楷体" w:cs="楷体"/>
        </w:rPr>
        <w:t>第聂伯河发源于俄罗斯的瓦尔代丘陵南坡，长约2200千米，总落差约250米。从河源至乌克兰境内的基辅（海拔约130米）称为上第聂伯河，从基辅至河口称为下第聂伯河。流域气候较温暖、湿润，从西北向东南大陆性逐渐显著。第聂伯河洪水出现在3~5月间，其洪水量占全河年径流量的60%~80%，绝大部分来自上第聂伯河。第聂伯河水能资源理论蕴藏量为146亿千瓦·时，下第聂伯河段占90%。下图为第聂伯河流域图。</w:t>
      </w:r>
    </w:p>
    <w:p>
      <w:pPr>
        <w:spacing w:line="360" w:lineRule="auto"/>
        <w:jc w:val="center"/>
        <w:textAlignment w:val="center"/>
      </w:pPr>
      <w:r>
        <w:drawing>
          <wp:inline distT="0" distB="0" distL="114300" distR="114300">
            <wp:extent cx="2887345" cy="2985770"/>
            <wp:effectExtent l="0" t="0" r="8255" b="508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21"/>
                    <a:stretch>
                      <a:fillRect/>
                    </a:stretch>
                  </pic:blipFill>
                  <pic:spPr>
                    <a:xfrm>
                      <a:off x="0" y="0"/>
                      <a:ext cx="2887345" cy="2985770"/>
                    </a:xfrm>
                    <a:prstGeom prst="rect">
                      <a:avLst/>
                    </a:prstGeom>
                  </pic:spPr>
                </pic:pic>
              </a:graphicData>
            </a:graphic>
          </wp:inline>
        </w:drawing>
      </w:r>
    </w:p>
    <w:p>
      <w:pPr>
        <w:spacing w:line="360" w:lineRule="auto"/>
        <w:jc w:val="left"/>
        <w:textAlignment w:val="center"/>
      </w:pPr>
      <w:r>
        <w:rPr>
          <w:rFonts w:hint="eastAsia"/>
          <w:lang w:eastAsia="zh-CN"/>
        </w:rPr>
        <w:t>（</w:t>
      </w:r>
      <w:r>
        <w:t>1</w:t>
      </w:r>
      <w:r>
        <w:rPr>
          <w:rFonts w:hint="eastAsia"/>
          <w:lang w:eastAsia="zh-CN"/>
        </w:rPr>
        <w:t>）</w:t>
      </w:r>
      <w:r>
        <w:t>说出第聂伯河流域的地势特点。</w:t>
      </w:r>
    </w:p>
    <w:p>
      <w:pPr>
        <w:spacing w:line="360" w:lineRule="auto"/>
        <w:jc w:val="left"/>
        <w:textAlignment w:val="center"/>
      </w:pPr>
      <w:r>
        <w:rPr>
          <w:rFonts w:hint="eastAsia"/>
          <w:lang w:eastAsia="zh-CN"/>
        </w:rPr>
        <w:t>（</w:t>
      </w:r>
      <w:r>
        <w:t>2</w:t>
      </w:r>
      <w:r>
        <w:rPr>
          <w:rFonts w:hint="eastAsia"/>
          <w:lang w:eastAsia="zh-CN"/>
        </w:rPr>
        <w:t>）</w:t>
      </w:r>
      <w:r>
        <w:t>分析第聂伯河春季形成洪水的原因。</w:t>
      </w:r>
    </w:p>
    <w:p>
      <w:pPr>
        <w:spacing w:line="360" w:lineRule="auto"/>
        <w:jc w:val="left"/>
        <w:textAlignment w:val="center"/>
      </w:pPr>
      <w:r>
        <w:rPr>
          <w:rFonts w:hint="eastAsia"/>
          <w:lang w:eastAsia="zh-CN"/>
        </w:rPr>
        <w:t>（</w:t>
      </w:r>
      <w:r>
        <w:t>3</w:t>
      </w:r>
      <w:r>
        <w:rPr>
          <w:rFonts w:hint="eastAsia"/>
          <w:lang w:eastAsia="zh-CN"/>
        </w:rPr>
        <w:t>）</w:t>
      </w:r>
      <w:r>
        <w:t>简述第聂伯河径流量主要来自上第聂伯河的原因。</w:t>
      </w:r>
    </w:p>
    <w:p>
      <w:pPr>
        <w:spacing w:line="360" w:lineRule="auto"/>
        <w:jc w:val="left"/>
        <w:textAlignment w:val="center"/>
      </w:pPr>
      <w:r>
        <w:rPr>
          <w:rFonts w:hint="eastAsia"/>
          <w:lang w:eastAsia="zh-CN"/>
        </w:rPr>
        <w:t>（</w:t>
      </w:r>
      <w:r>
        <w:t>4</w:t>
      </w:r>
      <w:r>
        <w:rPr>
          <w:rFonts w:hint="eastAsia"/>
          <w:lang w:eastAsia="zh-CN"/>
        </w:rPr>
        <w:t>）</w:t>
      </w:r>
      <w:r>
        <w:t>与上第聂伯河相比，分析该流域水能资源集中分布在下第聂伯河的原因。</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地势北高南低，起伏不大。</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流域内冬春季节降水较多；冬季气温低，有大量积雪；春季气温迅速回升，积雪融化量大。</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上第聂伯河流域面积广，支流众多，降水较为丰富。</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河流总落差小；上第聂伯河虽流经丘陵地区，降水较多，但支流众多，各支流水量均较小；众多支流汇入下第聂伯河后水量大增，因此水能资源较上第聂伯河丰富。</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读图并结合材料“第聂伯河发源于俄罗斯的瓦尔代丘陵南坡，长约2200千米，总落差约250米”可知，第聂伯河自北向南流，流域内地势北高南低；落差仅为250米，起伏不大。</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根据所学知识可知，第聂伯河流域受大西洋来的盛行西风和副极地低气压的影响，冬春季节多锋面气旋活动，流域内冬春季节降水较多；纬度较高，冬季气温低，有大量积雪；春季气温迅速回升，积雪融化量大，因此第聂伯河洪水出现在3~5月间，其洪水量占全河年径流量的60%~80%。</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由材料“从河源至乌克兰境内的基辅（海拔约130米）称为上第聂伯河，从基辅至河口称为下第聂伯河。流域气候较温暖、湿润，从西北向东南大陆性逐渐显著”可知，基辅以上河段支流众多，流域面积大；上第聂伯河流域面积广，支流众多，上游受西风影响时间长，降水较为丰富。</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由材料“第聂伯河发源于俄罗斯的瓦尔代丘陵南坡，长约2200千米，总落差约250米”可知，河流总落差小；上第聂伯河虽流经丘陵地区，降水较多，但支流众多，各支流水量均较小；众多支流汇入下第聂伯河后水量大增；由材料“从河源至乌克兰境内的基辅（海拔约130米）称为上第聂伯河，从基辅至河口称为下第聂伯河”可知，下第聂伯河落差为130米左右，相对较大，加上上第聂伯河支流众多，汇入下第聂伯河，水量大，因此下第聂伯河水能丰富。</w:t>
      </w:r>
    </w:p>
    <w:p>
      <w:pPr>
        <w:spacing w:line="360" w:lineRule="auto"/>
        <w:jc w:val="left"/>
        <w:textAlignment w:val="center"/>
      </w:pPr>
      <w:r>
        <w:t>12．白洋淀流域隶属海河流域的大清河水系。受全球变暖和人类活动的影响，白洋淀流域水资源、水环境、水生态形势不容乐观，流域水安全与经济发展的矛盾日益突出。阅读图文资料，回答下列问题。</w:t>
      </w:r>
    </w:p>
    <w:p>
      <w:pPr>
        <w:spacing w:line="360" w:lineRule="auto"/>
        <w:ind w:firstLine="420"/>
        <w:jc w:val="left"/>
        <w:textAlignment w:val="center"/>
        <w:rPr>
          <w:rFonts w:ascii="楷体" w:hAnsi="楷体" w:eastAsia="楷体" w:cs="楷体"/>
        </w:rPr>
      </w:pPr>
      <w:r>
        <w:rPr>
          <w:rFonts w:ascii="楷体" w:hAnsi="楷体" w:eastAsia="楷体" w:cs="楷体"/>
        </w:rPr>
        <w:t>材料：白洋淀在河北省保定市安新县境，地处京、津、冀腹地，自古就以物产车富、风景秀丽闻名于世。2001～2015年，白洋淀流域水源开发利用率高达128%，流域严重缺水。白洋淀水污染严重，入湖营养盐负荷是引起湖泊富营养化的关键驱动力。</w:t>
      </w:r>
    </w:p>
    <w:p>
      <w:pPr>
        <w:spacing w:line="360" w:lineRule="auto"/>
        <w:jc w:val="center"/>
        <w:textAlignment w:val="center"/>
      </w:pPr>
      <w:r>
        <w:drawing>
          <wp:inline distT="0" distB="0" distL="114300" distR="114300">
            <wp:extent cx="4991735" cy="2181225"/>
            <wp:effectExtent l="0" t="0" r="18415" b="952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22"/>
                    <a:stretch>
                      <a:fillRect/>
                    </a:stretch>
                  </pic:blipFill>
                  <pic:spPr>
                    <a:xfrm>
                      <a:off x="0" y="0"/>
                      <a:ext cx="4991735" cy="2181225"/>
                    </a:xfrm>
                    <a:prstGeom prst="rect">
                      <a:avLst/>
                    </a:prstGeom>
                  </pic:spPr>
                </pic:pic>
              </a:graphicData>
            </a:graphic>
          </wp:inline>
        </w:drawing>
      </w:r>
    </w:p>
    <w:p>
      <w:pPr>
        <w:spacing w:line="360" w:lineRule="auto"/>
        <w:ind w:firstLine="420"/>
        <w:jc w:val="left"/>
        <w:textAlignment w:val="center"/>
        <w:rPr>
          <w:rFonts w:ascii="楷体" w:hAnsi="楷体" w:eastAsia="楷体" w:cs="楷体"/>
        </w:rPr>
      </w:pPr>
      <w:r>
        <w:rPr>
          <w:rFonts w:ascii="楷体" w:hAnsi="楷体" w:eastAsia="楷体" w:cs="楷体"/>
        </w:rPr>
        <w:t>1990-2020年白洋淀流域各类用地面积及占比</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157"/>
        <w:gridCol w:w="940"/>
        <w:gridCol w:w="765"/>
        <w:gridCol w:w="835"/>
        <w:gridCol w:w="1080"/>
        <w:gridCol w:w="83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土地利用类型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耕地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林地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草地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建设用地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水域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未利用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1990年面积占比/%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49.59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34.76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6.36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7.39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1.85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2000年面积占比/%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49.20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34.74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5.82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8.97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1.13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2010年面积占比/%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47.58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35.31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6.17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9.75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2020年面积占比/%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46.01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35.16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5.35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12.26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1.19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1990年-2020年面积变化量/hm2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-122776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14103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-34722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167369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-22706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1990年-2020年面积变化率/%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-7.21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-15.90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65.91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-35.76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-23.55</w:t>
            </w:r>
          </w:p>
        </w:tc>
      </w:tr>
    </w:tbl>
    <w:p>
      <w:pPr>
        <w:spacing w:line="360" w:lineRule="auto"/>
        <w:jc w:val="left"/>
        <w:textAlignment w:val="center"/>
      </w:pPr>
      <w:r>
        <w:rPr>
          <w:rFonts w:hint="eastAsia"/>
          <w:lang w:eastAsia="zh-CN"/>
        </w:rPr>
        <w:t>（</w:t>
      </w:r>
      <w:r>
        <w:t>1</w:t>
      </w:r>
      <w:r>
        <w:rPr>
          <w:rFonts w:hint="eastAsia"/>
          <w:lang w:eastAsia="zh-CN"/>
        </w:rPr>
        <w:t>）</w:t>
      </w:r>
      <w:r>
        <w:t>白洋淀流域的地势有何特征？说明判断依据。</w:t>
      </w:r>
    </w:p>
    <w:p>
      <w:pPr>
        <w:spacing w:line="360" w:lineRule="auto"/>
        <w:jc w:val="left"/>
        <w:textAlignment w:val="center"/>
      </w:pPr>
      <w:r>
        <w:rPr>
          <w:rFonts w:hint="eastAsia"/>
          <w:lang w:eastAsia="zh-CN"/>
        </w:rPr>
        <w:t>（</w:t>
      </w:r>
      <w:r>
        <w:t>2</w:t>
      </w:r>
      <w:r>
        <w:rPr>
          <w:rFonts w:hint="eastAsia"/>
          <w:lang w:eastAsia="zh-CN"/>
        </w:rPr>
        <w:t>）</w:t>
      </w:r>
      <w:r>
        <w:t>分析白洋淀流域水资源短缺的原因。</w:t>
      </w:r>
    </w:p>
    <w:p>
      <w:pPr>
        <w:spacing w:line="360" w:lineRule="auto"/>
        <w:jc w:val="left"/>
        <w:textAlignment w:val="center"/>
      </w:pPr>
      <w:r>
        <w:rPr>
          <w:rFonts w:hint="eastAsia"/>
          <w:lang w:eastAsia="zh-CN"/>
        </w:rPr>
        <w:t>（</w:t>
      </w:r>
      <w:r>
        <w:t>3</w:t>
      </w:r>
      <w:r>
        <w:rPr>
          <w:rFonts w:hint="eastAsia"/>
          <w:lang w:eastAsia="zh-CN"/>
        </w:rPr>
        <w:t>）</w:t>
      </w:r>
      <w:r>
        <w:t>归纳白洋淀流域土地利用变化的总体特征，并推测变化的原因。</w:t>
      </w:r>
    </w:p>
    <w:p>
      <w:pPr>
        <w:spacing w:line="360" w:lineRule="auto"/>
        <w:jc w:val="left"/>
        <w:textAlignment w:val="center"/>
      </w:pPr>
      <w:r>
        <w:rPr>
          <w:rFonts w:hint="eastAsia"/>
          <w:lang w:eastAsia="zh-CN"/>
        </w:rPr>
        <w:t>（</w:t>
      </w:r>
      <w:r>
        <w:t>4</w:t>
      </w:r>
      <w:r>
        <w:rPr>
          <w:rFonts w:hint="eastAsia"/>
          <w:lang w:eastAsia="zh-CN"/>
        </w:rPr>
        <w:t>）</w:t>
      </w:r>
      <w:r>
        <w:t>结合材料信总，就该流域如何协调好水安全与经济发展的关系提出合理化建议。</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地势西北（西）高，东南（东）低。依据：河流流向</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位于温带季风气候区，降水量少且集中在夏季；蒸发量大；径流量小且径流量季节变化大；流域人口众多，经济发达，需水量大。</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特征：耕地面积大幅度减少，草地，水域面积大幅减少，建设用地面积急速增加，林地面积略有增加。原因：人口增长，城市化发展，使建设用地面积快速增加，耕地、草地、水域面积等被大量侵占；退耕还林，使耕地面积减少，而林地面积略有增加。</w:t>
      </w:r>
    </w:p>
    <w:p>
      <w:pPr>
        <w:spacing w:line="360" w:lineRule="auto"/>
        <w:jc w:val="left"/>
        <w:textAlignment w:val="center"/>
        <w:rPr>
          <w:color w:val="FF0000"/>
        </w:rPr>
      </w:pPr>
      <w:r>
        <w:rPr>
          <w:rFonts w:hint="eastAsia"/>
          <w:color w:val="FF0000"/>
          <w:lang w:eastAsia="zh-CN"/>
        </w:rPr>
        <w:t>（</w:t>
      </w:r>
      <w:r>
        <w:rPr>
          <w:color w:val="FF0000"/>
        </w:rPr>
        <w:t>4</w:t>
      </w:r>
      <w:r>
        <w:rPr>
          <w:rFonts w:hint="eastAsia"/>
          <w:color w:val="FF0000"/>
          <w:lang w:eastAsia="zh-CN"/>
        </w:rPr>
        <w:t>）</w:t>
      </w:r>
      <w:r>
        <w:rPr>
          <w:color w:val="FF0000"/>
        </w:rPr>
        <w:t>加强流域内产业结构的调整，大力发展第三产业，降低水资源消耗量；发展节水型农业，提高水资源的利用率；建设水利设施，如跨流域调水工程等；提高生活/农业污水收集和处理效率；削减化肥使用量；控制建设用地，增加水域面积。</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白洋淀流域地势西高东低，判断依据河流总体流向，由西向东流。</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分析区域水资源短缺，应该从水源的补给和消耗两个方面分别说明，突出需求大于供给。流域位于温带季风气候，降水较少且集中在夏季；径流量较小且流量季节变化大；晴天多，蒸发量大，消耗大量的水源；由于人口众多，经济发达，生产生活用水需求量大。</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根据表格数据可知，白洋淀土地利用有以下特征：耕地面积大幅度减少，草地面积大幅度减少，水域面积大幅度减少，建设用地面积大幅度增加，林地面积略有增加。原因分析：随着人口增长，工业化、城镇化的发展，建设用地迅速增加，大量的耕地、草地、水域面积被侵占；退耕还林政策使得耕地面积减少，林地面积略有增加。</w:t>
      </w:r>
    </w:p>
    <w:p>
      <w:pPr>
        <w:spacing w:line="360" w:lineRule="auto"/>
        <w:jc w:val="left"/>
        <w:textAlignment w:val="center"/>
      </w:pPr>
      <w:r>
        <w:rPr>
          <w:rFonts w:hint="eastAsia"/>
          <w:color w:val="FF0000"/>
          <w:lang w:eastAsia="zh-CN"/>
        </w:rPr>
        <w:t>（</w:t>
      </w:r>
      <w:r>
        <w:rPr>
          <w:color w:val="FF0000"/>
        </w:rPr>
        <w:t>4</w:t>
      </w:r>
      <w:r>
        <w:rPr>
          <w:rFonts w:hint="eastAsia"/>
          <w:color w:val="FF0000"/>
          <w:lang w:eastAsia="zh-CN"/>
        </w:rPr>
        <w:t>）</w:t>
      </w:r>
      <w:r>
        <w:rPr>
          <w:color w:val="FF0000"/>
        </w:rPr>
        <w:t>协调好白洋淀水安全与经济发展的措施，可以从以下方面进行思考：调整产业结构，大力发展第三产业，降低工农业生产对水资源的消耗量；大力发展节水型农业，创新灌溉方式，节约农业用水；促进工业用水循环利用，提高水资源利用率；建立水利设施，跨流域调水，增加区域水源；提倡节约用水，合理利用水资源；防止工业和农业污染，防止出现水质性缺水；控制建设用地，增加水域面积，扩大水源的储存空间。</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2310"/>
  <w:drawingGridHorizontalSpacing w:val="106"/>
  <w:drawingGridVerticalSpacing w:val="159"/>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YjgzMzBlM2YxYTNiOWNmYTNmM2Q0MmExMDllNDYifQ=="/>
  </w:docVars>
  <w:rsids>
    <w:rsidRoot w:val="00363227"/>
    <w:rsid w:val="0001360E"/>
    <w:rsid w:val="00041561"/>
    <w:rsid w:val="0004508D"/>
    <w:rsid w:val="00051F46"/>
    <w:rsid w:val="00094E0E"/>
    <w:rsid w:val="000D38AA"/>
    <w:rsid w:val="000D7007"/>
    <w:rsid w:val="000E4A0D"/>
    <w:rsid w:val="000F11BA"/>
    <w:rsid w:val="001054DD"/>
    <w:rsid w:val="0011493A"/>
    <w:rsid w:val="00146953"/>
    <w:rsid w:val="00154F10"/>
    <w:rsid w:val="001B3B62"/>
    <w:rsid w:val="00204DA2"/>
    <w:rsid w:val="002505B9"/>
    <w:rsid w:val="00253DB3"/>
    <w:rsid w:val="0027067E"/>
    <w:rsid w:val="0027460F"/>
    <w:rsid w:val="002771D2"/>
    <w:rsid w:val="002B743D"/>
    <w:rsid w:val="002D4A03"/>
    <w:rsid w:val="002D6755"/>
    <w:rsid w:val="002E56FE"/>
    <w:rsid w:val="002F0243"/>
    <w:rsid w:val="00340A5C"/>
    <w:rsid w:val="00344E16"/>
    <w:rsid w:val="00346BB9"/>
    <w:rsid w:val="00347F2C"/>
    <w:rsid w:val="00363227"/>
    <w:rsid w:val="003E022F"/>
    <w:rsid w:val="0040402F"/>
    <w:rsid w:val="00411BF1"/>
    <w:rsid w:val="004151FC"/>
    <w:rsid w:val="0042727D"/>
    <w:rsid w:val="00427DE6"/>
    <w:rsid w:val="0044467D"/>
    <w:rsid w:val="0047331D"/>
    <w:rsid w:val="00477B17"/>
    <w:rsid w:val="00486104"/>
    <w:rsid w:val="004D1316"/>
    <w:rsid w:val="00553047"/>
    <w:rsid w:val="0056487D"/>
    <w:rsid w:val="005A393C"/>
    <w:rsid w:val="00654076"/>
    <w:rsid w:val="006928E1"/>
    <w:rsid w:val="006E406D"/>
    <w:rsid w:val="008173D8"/>
    <w:rsid w:val="00822EAF"/>
    <w:rsid w:val="0085328A"/>
    <w:rsid w:val="00862942"/>
    <w:rsid w:val="009035F2"/>
    <w:rsid w:val="00913910"/>
    <w:rsid w:val="00920258"/>
    <w:rsid w:val="00931A4B"/>
    <w:rsid w:val="009333EB"/>
    <w:rsid w:val="009516EC"/>
    <w:rsid w:val="00A3055F"/>
    <w:rsid w:val="00A330E6"/>
    <w:rsid w:val="00A60DB7"/>
    <w:rsid w:val="00AF2726"/>
    <w:rsid w:val="00B04152"/>
    <w:rsid w:val="00B205AE"/>
    <w:rsid w:val="00B53292"/>
    <w:rsid w:val="00B91EF0"/>
    <w:rsid w:val="00BD26A7"/>
    <w:rsid w:val="00BF2518"/>
    <w:rsid w:val="00BF4AD7"/>
    <w:rsid w:val="00C02FC6"/>
    <w:rsid w:val="00C2613D"/>
    <w:rsid w:val="00C8788F"/>
    <w:rsid w:val="00CF38C2"/>
    <w:rsid w:val="00D06718"/>
    <w:rsid w:val="00DB3207"/>
    <w:rsid w:val="00DD0D58"/>
    <w:rsid w:val="00E335FA"/>
    <w:rsid w:val="00E36A8A"/>
    <w:rsid w:val="00E5632D"/>
    <w:rsid w:val="00F00734"/>
    <w:rsid w:val="00F04231"/>
    <w:rsid w:val="00F80CFC"/>
    <w:rsid w:val="00F85F4F"/>
    <w:rsid w:val="01164017"/>
    <w:rsid w:val="01414C6D"/>
    <w:rsid w:val="01865E6B"/>
    <w:rsid w:val="0187688C"/>
    <w:rsid w:val="01A47104"/>
    <w:rsid w:val="01B14187"/>
    <w:rsid w:val="01D44072"/>
    <w:rsid w:val="01EE0AB9"/>
    <w:rsid w:val="02061A63"/>
    <w:rsid w:val="02425371"/>
    <w:rsid w:val="02687AA8"/>
    <w:rsid w:val="029235C1"/>
    <w:rsid w:val="02B62CE1"/>
    <w:rsid w:val="030267D7"/>
    <w:rsid w:val="03264526"/>
    <w:rsid w:val="032D1CF3"/>
    <w:rsid w:val="033A2B96"/>
    <w:rsid w:val="03621F49"/>
    <w:rsid w:val="038D5A34"/>
    <w:rsid w:val="03CB16BA"/>
    <w:rsid w:val="044A128B"/>
    <w:rsid w:val="046C6053"/>
    <w:rsid w:val="04B6051D"/>
    <w:rsid w:val="052A2023"/>
    <w:rsid w:val="0539092C"/>
    <w:rsid w:val="053B6E74"/>
    <w:rsid w:val="057C2363"/>
    <w:rsid w:val="058A7188"/>
    <w:rsid w:val="05B174F5"/>
    <w:rsid w:val="05C72003"/>
    <w:rsid w:val="05C94CF5"/>
    <w:rsid w:val="05F5400F"/>
    <w:rsid w:val="060B647B"/>
    <w:rsid w:val="06327911"/>
    <w:rsid w:val="06826352"/>
    <w:rsid w:val="06BB60C9"/>
    <w:rsid w:val="06D530D4"/>
    <w:rsid w:val="06EB2A1C"/>
    <w:rsid w:val="07262A2D"/>
    <w:rsid w:val="07722025"/>
    <w:rsid w:val="07742234"/>
    <w:rsid w:val="077A7112"/>
    <w:rsid w:val="07A450C5"/>
    <w:rsid w:val="07F86234"/>
    <w:rsid w:val="08017A53"/>
    <w:rsid w:val="08040A1C"/>
    <w:rsid w:val="082E4D8F"/>
    <w:rsid w:val="083C5689"/>
    <w:rsid w:val="084C1FAB"/>
    <w:rsid w:val="08512D3B"/>
    <w:rsid w:val="087F20A5"/>
    <w:rsid w:val="08B87578"/>
    <w:rsid w:val="08C04B54"/>
    <w:rsid w:val="08CE1804"/>
    <w:rsid w:val="08D710F9"/>
    <w:rsid w:val="08DF7996"/>
    <w:rsid w:val="08F6731F"/>
    <w:rsid w:val="092C38B2"/>
    <w:rsid w:val="093B5436"/>
    <w:rsid w:val="094E68E4"/>
    <w:rsid w:val="09516AB9"/>
    <w:rsid w:val="099E62A8"/>
    <w:rsid w:val="09BE4C01"/>
    <w:rsid w:val="09CF11FD"/>
    <w:rsid w:val="09D30710"/>
    <w:rsid w:val="09D91DC1"/>
    <w:rsid w:val="09E67B77"/>
    <w:rsid w:val="09E74EE9"/>
    <w:rsid w:val="0A3079AC"/>
    <w:rsid w:val="0A4D0D4A"/>
    <w:rsid w:val="0A525C03"/>
    <w:rsid w:val="0A6F25F5"/>
    <w:rsid w:val="0A854F65"/>
    <w:rsid w:val="0AB47AA2"/>
    <w:rsid w:val="0ACD0D71"/>
    <w:rsid w:val="0AE167F9"/>
    <w:rsid w:val="0AFA4729"/>
    <w:rsid w:val="0B192A1D"/>
    <w:rsid w:val="0B5C4949"/>
    <w:rsid w:val="0BC872F5"/>
    <w:rsid w:val="0BEF73E1"/>
    <w:rsid w:val="0BFB47EC"/>
    <w:rsid w:val="0C1272A5"/>
    <w:rsid w:val="0C165739"/>
    <w:rsid w:val="0C165910"/>
    <w:rsid w:val="0C507705"/>
    <w:rsid w:val="0CD27D8B"/>
    <w:rsid w:val="0CD93393"/>
    <w:rsid w:val="0CF0699B"/>
    <w:rsid w:val="0D254926"/>
    <w:rsid w:val="0D3D7A2D"/>
    <w:rsid w:val="0D7C099C"/>
    <w:rsid w:val="0D8B253F"/>
    <w:rsid w:val="0D8E19D1"/>
    <w:rsid w:val="0E37185E"/>
    <w:rsid w:val="0E4A6EDB"/>
    <w:rsid w:val="0E962F16"/>
    <w:rsid w:val="0EAF6775"/>
    <w:rsid w:val="0EBA0C78"/>
    <w:rsid w:val="0EC063E2"/>
    <w:rsid w:val="0EED7B03"/>
    <w:rsid w:val="0EEE226B"/>
    <w:rsid w:val="0F0831A8"/>
    <w:rsid w:val="0F2569F7"/>
    <w:rsid w:val="0F472EBF"/>
    <w:rsid w:val="0F485F3A"/>
    <w:rsid w:val="0F5403D0"/>
    <w:rsid w:val="0F5D3D21"/>
    <w:rsid w:val="0FA051B4"/>
    <w:rsid w:val="0FD201E0"/>
    <w:rsid w:val="10641645"/>
    <w:rsid w:val="10801AEA"/>
    <w:rsid w:val="108D44A5"/>
    <w:rsid w:val="10925115"/>
    <w:rsid w:val="10DF454E"/>
    <w:rsid w:val="1146501B"/>
    <w:rsid w:val="11757AEB"/>
    <w:rsid w:val="11767FDF"/>
    <w:rsid w:val="11A21117"/>
    <w:rsid w:val="122A3342"/>
    <w:rsid w:val="12AD3E17"/>
    <w:rsid w:val="12DB750D"/>
    <w:rsid w:val="12EE3862"/>
    <w:rsid w:val="132B05C9"/>
    <w:rsid w:val="13773867"/>
    <w:rsid w:val="141D4867"/>
    <w:rsid w:val="1450466F"/>
    <w:rsid w:val="145936E7"/>
    <w:rsid w:val="14782569"/>
    <w:rsid w:val="148051AD"/>
    <w:rsid w:val="14A55DCB"/>
    <w:rsid w:val="14E458A0"/>
    <w:rsid w:val="150F58F7"/>
    <w:rsid w:val="1517247C"/>
    <w:rsid w:val="151A2255"/>
    <w:rsid w:val="156E31B0"/>
    <w:rsid w:val="1589560F"/>
    <w:rsid w:val="15C647AA"/>
    <w:rsid w:val="15E714D3"/>
    <w:rsid w:val="15F05379"/>
    <w:rsid w:val="160F185D"/>
    <w:rsid w:val="161A1F93"/>
    <w:rsid w:val="162E0AAD"/>
    <w:rsid w:val="166839AF"/>
    <w:rsid w:val="167F4110"/>
    <w:rsid w:val="16B525A3"/>
    <w:rsid w:val="16E15D06"/>
    <w:rsid w:val="171833A6"/>
    <w:rsid w:val="17625B68"/>
    <w:rsid w:val="176D15B5"/>
    <w:rsid w:val="17A27DBD"/>
    <w:rsid w:val="17A52C8E"/>
    <w:rsid w:val="188F627F"/>
    <w:rsid w:val="18E622B0"/>
    <w:rsid w:val="18EA02BF"/>
    <w:rsid w:val="18F3767C"/>
    <w:rsid w:val="193A5D29"/>
    <w:rsid w:val="19552431"/>
    <w:rsid w:val="19AE7BAF"/>
    <w:rsid w:val="19E24FAB"/>
    <w:rsid w:val="1A2A5A76"/>
    <w:rsid w:val="1A895541"/>
    <w:rsid w:val="1AAB3FF6"/>
    <w:rsid w:val="1ACD61A7"/>
    <w:rsid w:val="1AFC2F86"/>
    <w:rsid w:val="1B0143AE"/>
    <w:rsid w:val="1B2B2A35"/>
    <w:rsid w:val="1BAA0EA2"/>
    <w:rsid w:val="1BB24585"/>
    <w:rsid w:val="1C1B6511"/>
    <w:rsid w:val="1C594744"/>
    <w:rsid w:val="1C6A2E75"/>
    <w:rsid w:val="1C7F3B37"/>
    <w:rsid w:val="1CA94624"/>
    <w:rsid w:val="1CB913D5"/>
    <w:rsid w:val="1CF2364B"/>
    <w:rsid w:val="1CFA4EF6"/>
    <w:rsid w:val="1D8879E1"/>
    <w:rsid w:val="1DA62D5C"/>
    <w:rsid w:val="1DD768B0"/>
    <w:rsid w:val="1DF6370F"/>
    <w:rsid w:val="1E255FCA"/>
    <w:rsid w:val="1E2A7E0F"/>
    <w:rsid w:val="1E315851"/>
    <w:rsid w:val="1E8C6843"/>
    <w:rsid w:val="1EE868CD"/>
    <w:rsid w:val="1F541B63"/>
    <w:rsid w:val="1F812A31"/>
    <w:rsid w:val="1FF737D8"/>
    <w:rsid w:val="20056700"/>
    <w:rsid w:val="201F1A90"/>
    <w:rsid w:val="207508BE"/>
    <w:rsid w:val="207F13DD"/>
    <w:rsid w:val="2084589B"/>
    <w:rsid w:val="20D03F3A"/>
    <w:rsid w:val="20D514AC"/>
    <w:rsid w:val="20FE320A"/>
    <w:rsid w:val="21174EE9"/>
    <w:rsid w:val="214C53E7"/>
    <w:rsid w:val="21985BCE"/>
    <w:rsid w:val="21BB3599"/>
    <w:rsid w:val="21CC24F9"/>
    <w:rsid w:val="221B1335"/>
    <w:rsid w:val="222A57ED"/>
    <w:rsid w:val="222A5CBF"/>
    <w:rsid w:val="22316226"/>
    <w:rsid w:val="227A13C0"/>
    <w:rsid w:val="227D5762"/>
    <w:rsid w:val="228C18F4"/>
    <w:rsid w:val="22C0503E"/>
    <w:rsid w:val="22C76D9C"/>
    <w:rsid w:val="22DD503A"/>
    <w:rsid w:val="2327443A"/>
    <w:rsid w:val="233F5672"/>
    <w:rsid w:val="236B239E"/>
    <w:rsid w:val="23A82630"/>
    <w:rsid w:val="23E813A1"/>
    <w:rsid w:val="240B374D"/>
    <w:rsid w:val="249A4E1C"/>
    <w:rsid w:val="24DB7A94"/>
    <w:rsid w:val="25130862"/>
    <w:rsid w:val="253565F5"/>
    <w:rsid w:val="254777B7"/>
    <w:rsid w:val="25503E50"/>
    <w:rsid w:val="255C648D"/>
    <w:rsid w:val="256D3E4F"/>
    <w:rsid w:val="25890044"/>
    <w:rsid w:val="258F55CE"/>
    <w:rsid w:val="25976F62"/>
    <w:rsid w:val="25C37930"/>
    <w:rsid w:val="25CB0075"/>
    <w:rsid w:val="25DC46AD"/>
    <w:rsid w:val="261107D6"/>
    <w:rsid w:val="269B2962"/>
    <w:rsid w:val="269F0D07"/>
    <w:rsid w:val="27095CFD"/>
    <w:rsid w:val="272C064F"/>
    <w:rsid w:val="27353908"/>
    <w:rsid w:val="273732B5"/>
    <w:rsid w:val="27CC782B"/>
    <w:rsid w:val="280459C1"/>
    <w:rsid w:val="2823317E"/>
    <w:rsid w:val="28917FE0"/>
    <w:rsid w:val="28EA3A57"/>
    <w:rsid w:val="298D74CA"/>
    <w:rsid w:val="29E82B06"/>
    <w:rsid w:val="2A047AE2"/>
    <w:rsid w:val="2A0502EB"/>
    <w:rsid w:val="2A6B348F"/>
    <w:rsid w:val="2AA05E7E"/>
    <w:rsid w:val="2AAA4DA6"/>
    <w:rsid w:val="2AAB3963"/>
    <w:rsid w:val="2B2659B7"/>
    <w:rsid w:val="2B610706"/>
    <w:rsid w:val="2BBD12AA"/>
    <w:rsid w:val="2BC5637B"/>
    <w:rsid w:val="2BEF4B6A"/>
    <w:rsid w:val="2C174F84"/>
    <w:rsid w:val="2C1D35B8"/>
    <w:rsid w:val="2C1F70BE"/>
    <w:rsid w:val="2C580002"/>
    <w:rsid w:val="2C9065A9"/>
    <w:rsid w:val="2CCA3B31"/>
    <w:rsid w:val="2CEF2352"/>
    <w:rsid w:val="2D1550D8"/>
    <w:rsid w:val="2D2471C8"/>
    <w:rsid w:val="2DCB78F4"/>
    <w:rsid w:val="2DFA17D2"/>
    <w:rsid w:val="2E381B90"/>
    <w:rsid w:val="2E596185"/>
    <w:rsid w:val="2E98218E"/>
    <w:rsid w:val="2ED54309"/>
    <w:rsid w:val="2EE433C6"/>
    <w:rsid w:val="2EFA4345"/>
    <w:rsid w:val="2F481EE3"/>
    <w:rsid w:val="2F5C20B6"/>
    <w:rsid w:val="2F825F93"/>
    <w:rsid w:val="2F87776B"/>
    <w:rsid w:val="308A1247"/>
    <w:rsid w:val="3100185F"/>
    <w:rsid w:val="3167472C"/>
    <w:rsid w:val="318B6B48"/>
    <w:rsid w:val="31AE1628"/>
    <w:rsid w:val="31AF0155"/>
    <w:rsid w:val="31CA5F75"/>
    <w:rsid w:val="31E82693"/>
    <w:rsid w:val="32763AE5"/>
    <w:rsid w:val="32856DD9"/>
    <w:rsid w:val="329B176F"/>
    <w:rsid w:val="32A712B0"/>
    <w:rsid w:val="32EB22E9"/>
    <w:rsid w:val="32F44E2A"/>
    <w:rsid w:val="32F72565"/>
    <w:rsid w:val="32FD373C"/>
    <w:rsid w:val="331E6208"/>
    <w:rsid w:val="333B5B7D"/>
    <w:rsid w:val="33703288"/>
    <w:rsid w:val="34022AE2"/>
    <w:rsid w:val="34441205"/>
    <w:rsid w:val="349660F5"/>
    <w:rsid w:val="34A143ED"/>
    <w:rsid w:val="34F53D55"/>
    <w:rsid w:val="34F54059"/>
    <w:rsid w:val="35023F27"/>
    <w:rsid w:val="354C73B3"/>
    <w:rsid w:val="359E7D1A"/>
    <w:rsid w:val="35D81EC5"/>
    <w:rsid w:val="361977CC"/>
    <w:rsid w:val="361F1F21"/>
    <w:rsid w:val="36757C0B"/>
    <w:rsid w:val="36766B7D"/>
    <w:rsid w:val="3692108B"/>
    <w:rsid w:val="36CA67BF"/>
    <w:rsid w:val="37872451"/>
    <w:rsid w:val="37926BE2"/>
    <w:rsid w:val="37FB48E5"/>
    <w:rsid w:val="380749F7"/>
    <w:rsid w:val="381816E7"/>
    <w:rsid w:val="38244E09"/>
    <w:rsid w:val="382D7766"/>
    <w:rsid w:val="383241A5"/>
    <w:rsid w:val="38451459"/>
    <w:rsid w:val="385B559B"/>
    <w:rsid w:val="386859FF"/>
    <w:rsid w:val="38B006D7"/>
    <w:rsid w:val="38B16E59"/>
    <w:rsid w:val="38C94F5C"/>
    <w:rsid w:val="38E41F17"/>
    <w:rsid w:val="38F03990"/>
    <w:rsid w:val="38F5617C"/>
    <w:rsid w:val="39015AE1"/>
    <w:rsid w:val="39280C4D"/>
    <w:rsid w:val="39975F0B"/>
    <w:rsid w:val="39CB4F31"/>
    <w:rsid w:val="39DB4DD3"/>
    <w:rsid w:val="3A3D63FF"/>
    <w:rsid w:val="3A4820BD"/>
    <w:rsid w:val="3AC15350"/>
    <w:rsid w:val="3AD95E29"/>
    <w:rsid w:val="3AF06E4A"/>
    <w:rsid w:val="3AF87670"/>
    <w:rsid w:val="3B1C628F"/>
    <w:rsid w:val="3B524984"/>
    <w:rsid w:val="3B5D1C85"/>
    <w:rsid w:val="3BF865C3"/>
    <w:rsid w:val="3C367251"/>
    <w:rsid w:val="3C562CE2"/>
    <w:rsid w:val="3CD10DF8"/>
    <w:rsid w:val="3CD163E6"/>
    <w:rsid w:val="3CD17A2B"/>
    <w:rsid w:val="3D6C24DA"/>
    <w:rsid w:val="3D855A3C"/>
    <w:rsid w:val="3D970B59"/>
    <w:rsid w:val="3DB718D6"/>
    <w:rsid w:val="3DF3762A"/>
    <w:rsid w:val="3E5A4BE9"/>
    <w:rsid w:val="3E6C790E"/>
    <w:rsid w:val="3E975715"/>
    <w:rsid w:val="3EC35632"/>
    <w:rsid w:val="3F2031D7"/>
    <w:rsid w:val="3F5068C4"/>
    <w:rsid w:val="3F6F7C91"/>
    <w:rsid w:val="3FCF3EAE"/>
    <w:rsid w:val="3FE416D6"/>
    <w:rsid w:val="3FF07EB2"/>
    <w:rsid w:val="400A63BB"/>
    <w:rsid w:val="40AE06CB"/>
    <w:rsid w:val="40DE2151"/>
    <w:rsid w:val="40E0578E"/>
    <w:rsid w:val="40FC50CC"/>
    <w:rsid w:val="419D2469"/>
    <w:rsid w:val="419F316F"/>
    <w:rsid w:val="424C4177"/>
    <w:rsid w:val="42680A9A"/>
    <w:rsid w:val="426C3539"/>
    <w:rsid w:val="42C753C2"/>
    <w:rsid w:val="42D028A9"/>
    <w:rsid w:val="42D23C02"/>
    <w:rsid w:val="42D9193C"/>
    <w:rsid w:val="42E247C8"/>
    <w:rsid w:val="42F57EE9"/>
    <w:rsid w:val="42FF48E8"/>
    <w:rsid w:val="43544501"/>
    <w:rsid w:val="436E0722"/>
    <w:rsid w:val="439F4FCE"/>
    <w:rsid w:val="43B02906"/>
    <w:rsid w:val="43CC439D"/>
    <w:rsid w:val="440260A4"/>
    <w:rsid w:val="44241AFE"/>
    <w:rsid w:val="44504DCF"/>
    <w:rsid w:val="447D7DE2"/>
    <w:rsid w:val="449105B1"/>
    <w:rsid w:val="44A72718"/>
    <w:rsid w:val="453E337C"/>
    <w:rsid w:val="45641E5A"/>
    <w:rsid w:val="457E4E62"/>
    <w:rsid w:val="45B96FC2"/>
    <w:rsid w:val="45C701C5"/>
    <w:rsid w:val="45CB0CAA"/>
    <w:rsid w:val="45D313A9"/>
    <w:rsid w:val="45E27229"/>
    <w:rsid w:val="45FE7E7B"/>
    <w:rsid w:val="4603401B"/>
    <w:rsid w:val="46442477"/>
    <w:rsid w:val="46A7020E"/>
    <w:rsid w:val="46AE7AEC"/>
    <w:rsid w:val="46E276B5"/>
    <w:rsid w:val="473B3D0F"/>
    <w:rsid w:val="47502477"/>
    <w:rsid w:val="47831118"/>
    <w:rsid w:val="479A0D67"/>
    <w:rsid w:val="47E37409"/>
    <w:rsid w:val="47E578DA"/>
    <w:rsid w:val="48477F12"/>
    <w:rsid w:val="48481EA8"/>
    <w:rsid w:val="48650DF3"/>
    <w:rsid w:val="486C6D67"/>
    <w:rsid w:val="488B3D3F"/>
    <w:rsid w:val="48C24905"/>
    <w:rsid w:val="48EB6098"/>
    <w:rsid w:val="49892DB7"/>
    <w:rsid w:val="498F2B97"/>
    <w:rsid w:val="49951AA0"/>
    <w:rsid w:val="49EF52D5"/>
    <w:rsid w:val="4A1B4A96"/>
    <w:rsid w:val="4B3E6201"/>
    <w:rsid w:val="4B4F1B82"/>
    <w:rsid w:val="4B6833A6"/>
    <w:rsid w:val="4BAA3DD9"/>
    <w:rsid w:val="4BF609BF"/>
    <w:rsid w:val="4C07720C"/>
    <w:rsid w:val="4C742936"/>
    <w:rsid w:val="4C777C13"/>
    <w:rsid w:val="4C7F07BB"/>
    <w:rsid w:val="4CA92AE8"/>
    <w:rsid w:val="4CAE035A"/>
    <w:rsid w:val="4D1C05E7"/>
    <w:rsid w:val="4D203CA6"/>
    <w:rsid w:val="4D2C623F"/>
    <w:rsid w:val="4DE719F4"/>
    <w:rsid w:val="4E2D3E66"/>
    <w:rsid w:val="4E58160C"/>
    <w:rsid w:val="4E8D71C8"/>
    <w:rsid w:val="4EE31971"/>
    <w:rsid w:val="4F146259"/>
    <w:rsid w:val="4F3F0D8B"/>
    <w:rsid w:val="4F5B4C21"/>
    <w:rsid w:val="4FA66380"/>
    <w:rsid w:val="50065693"/>
    <w:rsid w:val="501A5268"/>
    <w:rsid w:val="501B71DE"/>
    <w:rsid w:val="501C6643"/>
    <w:rsid w:val="503306EC"/>
    <w:rsid w:val="504F4C6B"/>
    <w:rsid w:val="5065404D"/>
    <w:rsid w:val="5088712D"/>
    <w:rsid w:val="50DA2931"/>
    <w:rsid w:val="50F80D09"/>
    <w:rsid w:val="511B6ED1"/>
    <w:rsid w:val="51402A50"/>
    <w:rsid w:val="517F5C3E"/>
    <w:rsid w:val="518E1B81"/>
    <w:rsid w:val="51A509F2"/>
    <w:rsid w:val="52140E6F"/>
    <w:rsid w:val="528C20EC"/>
    <w:rsid w:val="529E458A"/>
    <w:rsid w:val="53B242F0"/>
    <w:rsid w:val="53C11769"/>
    <w:rsid w:val="53C93838"/>
    <w:rsid w:val="53D31046"/>
    <w:rsid w:val="53FD3853"/>
    <w:rsid w:val="54154AAB"/>
    <w:rsid w:val="542549FE"/>
    <w:rsid w:val="546D15A2"/>
    <w:rsid w:val="547649C0"/>
    <w:rsid w:val="54A3010A"/>
    <w:rsid w:val="54CA4618"/>
    <w:rsid w:val="54CC66CF"/>
    <w:rsid w:val="552F338A"/>
    <w:rsid w:val="55354F12"/>
    <w:rsid w:val="5549584E"/>
    <w:rsid w:val="556947C4"/>
    <w:rsid w:val="559D56F8"/>
    <w:rsid w:val="55A37209"/>
    <w:rsid w:val="56264A42"/>
    <w:rsid w:val="5645165C"/>
    <w:rsid w:val="56A3288B"/>
    <w:rsid w:val="56C467F4"/>
    <w:rsid w:val="56CC37A2"/>
    <w:rsid w:val="56E65A2F"/>
    <w:rsid w:val="571C11A2"/>
    <w:rsid w:val="57CA26D2"/>
    <w:rsid w:val="57F1124C"/>
    <w:rsid w:val="57F270F2"/>
    <w:rsid w:val="584C4596"/>
    <w:rsid w:val="58914B42"/>
    <w:rsid w:val="589A3CA4"/>
    <w:rsid w:val="58D73032"/>
    <w:rsid w:val="58E94088"/>
    <w:rsid w:val="58F92F65"/>
    <w:rsid w:val="59095270"/>
    <w:rsid w:val="593D2983"/>
    <w:rsid w:val="594A2F11"/>
    <w:rsid w:val="595B050B"/>
    <w:rsid w:val="59752AD8"/>
    <w:rsid w:val="598F5948"/>
    <w:rsid w:val="59997EE1"/>
    <w:rsid w:val="599B48BD"/>
    <w:rsid w:val="5A4955CF"/>
    <w:rsid w:val="5A673DFE"/>
    <w:rsid w:val="5A6C33C5"/>
    <w:rsid w:val="5B5A5AF5"/>
    <w:rsid w:val="5B606A64"/>
    <w:rsid w:val="5B6D3AA6"/>
    <w:rsid w:val="5BBD12D6"/>
    <w:rsid w:val="5CAE4F05"/>
    <w:rsid w:val="5CBD1459"/>
    <w:rsid w:val="5CDC5128"/>
    <w:rsid w:val="5CDE7BB4"/>
    <w:rsid w:val="5D18159A"/>
    <w:rsid w:val="5D1C630E"/>
    <w:rsid w:val="5D283712"/>
    <w:rsid w:val="5D757B4C"/>
    <w:rsid w:val="5DAD0AC9"/>
    <w:rsid w:val="5E0F1FFE"/>
    <w:rsid w:val="5E20244D"/>
    <w:rsid w:val="5E3468B5"/>
    <w:rsid w:val="5E357080"/>
    <w:rsid w:val="5E367002"/>
    <w:rsid w:val="5E4E5B3E"/>
    <w:rsid w:val="5E522533"/>
    <w:rsid w:val="5E5C77F1"/>
    <w:rsid w:val="5E6D4ED4"/>
    <w:rsid w:val="5E9A16A9"/>
    <w:rsid w:val="5EA31296"/>
    <w:rsid w:val="5EAC4F0F"/>
    <w:rsid w:val="5EC817E4"/>
    <w:rsid w:val="5EC9717F"/>
    <w:rsid w:val="5F0A5E9B"/>
    <w:rsid w:val="5F320F47"/>
    <w:rsid w:val="5F38499D"/>
    <w:rsid w:val="5FDC584E"/>
    <w:rsid w:val="603650F7"/>
    <w:rsid w:val="607E222C"/>
    <w:rsid w:val="60B873DF"/>
    <w:rsid w:val="60C60100"/>
    <w:rsid w:val="60DC1747"/>
    <w:rsid w:val="60DD5BE5"/>
    <w:rsid w:val="60EC15FB"/>
    <w:rsid w:val="614C009A"/>
    <w:rsid w:val="61952C0F"/>
    <w:rsid w:val="621F2BDF"/>
    <w:rsid w:val="6281584A"/>
    <w:rsid w:val="62A446E5"/>
    <w:rsid w:val="62FF40DF"/>
    <w:rsid w:val="62FF6639"/>
    <w:rsid w:val="63181F48"/>
    <w:rsid w:val="6356341B"/>
    <w:rsid w:val="63842BFB"/>
    <w:rsid w:val="63CF1213"/>
    <w:rsid w:val="63E96B77"/>
    <w:rsid w:val="643B5766"/>
    <w:rsid w:val="64783B48"/>
    <w:rsid w:val="64861AA5"/>
    <w:rsid w:val="64AA568B"/>
    <w:rsid w:val="64AA7B65"/>
    <w:rsid w:val="64CB36FA"/>
    <w:rsid w:val="65067894"/>
    <w:rsid w:val="651717B1"/>
    <w:rsid w:val="653C48C9"/>
    <w:rsid w:val="65CC7289"/>
    <w:rsid w:val="65D43E9F"/>
    <w:rsid w:val="664C7B22"/>
    <w:rsid w:val="6657090D"/>
    <w:rsid w:val="6664690B"/>
    <w:rsid w:val="6665539D"/>
    <w:rsid w:val="66995292"/>
    <w:rsid w:val="66CC12D1"/>
    <w:rsid w:val="670E678A"/>
    <w:rsid w:val="67106D12"/>
    <w:rsid w:val="674857CD"/>
    <w:rsid w:val="67533D54"/>
    <w:rsid w:val="67F53D76"/>
    <w:rsid w:val="682674E4"/>
    <w:rsid w:val="684C3E0B"/>
    <w:rsid w:val="68810016"/>
    <w:rsid w:val="689D08C3"/>
    <w:rsid w:val="68C37168"/>
    <w:rsid w:val="69437384"/>
    <w:rsid w:val="69617C83"/>
    <w:rsid w:val="69AB2D5C"/>
    <w:rsid w:val="6A7105E0"/>
    <w:rsid w:val="6ACB7490"/>
    <w:rsid w:val="6AE82C51"/>
    <w:rsid w:val="6AF76C34"/>
    <w:rsid w:val="6AFC0C40"/>
    <w:rsid w:val="6B0F78AF"/>
    <w:rsid w:val="6B187D98"/>
    <w:rsid w:val="6B6C3727"/>
    <w:rsid w:val="6BA72E39"/>
    <w:rsid w:val="6BD159AF"/>
    <w:rsid w:val="6BF56F56"/>
    <w:rsid w:val="6BF86A37"/>
    <w:rsid w:val="6C2D14AC"/>
    <w:rsid w:val="6C5E25A5"/>
    <w:rsid w:val="6C744C41"/>
    <w:rsid w:val="6CAD058B"/>
    <w:rsid w:val="6CC274EC"/>
    <w:rsid w:val="6D0568C6"/>
    <w:rsid w:val="6D2A580D"/>
    <w:rsid w:val="6D341DC3"/>
    <w:rsid w:val="6D3C369D"/>
    <w:rsid w:val="6DDD0677"/>
    <w:rsid w:val="6DF35366"/>
    <w:rsid w:val="6E3D3D39"/>
    <w:rsid w:val="6E641962"/>
    <w:rsid w:val="6E8D67F9"/>
    <w:rsid w:val="6EB713C2"/>
    <w:rsid w:val="6EBE090C"/>
    <w:rsid w:val="6F41165A"/>
    <w:rsid w:val="6FF510E2"/>
    <w:rsid w:val="70033FF2"/>
    <w:rsid w:val="702F025E"/>
    <w:rsid w:val="703A5E02"/>
    <w:rsid w:val="705D1802"/>
    <w:rsid w:val="70627BFB"/>
    <w:rsid w:val="70903B88"/>
    <w:rsid w:val="70922717"/>
    <w:rsid w:val="709D651C"/>
    <w:rsid w:val="70AF1088"/>
    <w:rsid w:val="70E84ABC"/>
    <w:rsid w:val="70EB2155"/>
    <w:rsid w:val="710E6C37"/>
    <w:rsid w:val="71151D93"/>
    <w:rsid w:val="71261602"/>
    <w:rsid w:val="71457F46"/>
    <w:rsid w:val="716340C0"/>
    <w:rsid w:val="7190334D"/>
    <w:rsid w:val="719426FD"/>
    <w:rsid w:val="71D47533"/>
    <w:rsid w:val="72140200"/>
    <w:rsid w:val="7248445B"/>
    <w:rsid w:val="724A5999"/>
    <w:rsid w:val="734A7CA7"/>
    <w:rsid w:val="736745B2"/>
    <w:rsid w:val="73C072F9"/>
    <w:rsid w:val="73F600E7"/>
    <w:rsid w:val="742B5991"/>
    <w:rsid w:val="74785C63"/>
    <w:rsid w:val="74CC35CC"/>
    <w:rsid w:val="74D2161B"/>
    <w:rsid w:val="74DB51E3"/>
    <w:rsid w:val="74E50E46"/>
    <w:rsid w:val="75573D11"/>
    <w:rsid w:val="755C22AB"/>
    <w:rsid w:val="75784A68"/>
    <w:rsid w:val="759C74F1"/>
    <w:rsid w:val="75AA14EA"/>
    <w:rsid w:val="75B8173B"/>
    <w:rsid w:val="75E5564F"/>
    <w:rsid w:val="76067DC0"/>
    <w:rsid w:val="760D0946"/>
    <w:rsid w:val="761723D2"/>
    <w:rsid w:val="7646600B"/>
    <w:rsid w:val="76555686"/>
    <w:rsid w:val="766045C3"/>
    <w:rsid w:val="76887943"/>
    <w:rsid w:val="772F5A26"/>
    <w:rsid w:val="773F57E6"/>
    <w:rsid w:val="77651086"/>
    <w:rsid w:val="776D5578"/>
    <w:rsid w:val="777B4754"/>
    <w:rsid w:val="77897D64"/>
    <w:rsid w:val="77F10488"/>
    <w:rsid w:val="781228C2"/>
    <w:rsid w:val="78507458"/>
    <w:rsid w:val="788F6E2C"/>
    <w:rsid w:val="789616F9"/>
    <w:rsid w:val="78C1089D"/>
    <w:rsid w:val="78F23069"/>
    <w:rsid w:val="79301A02"/>
    <w:rsid w:val="794F47CE"/>
    <w:rsid w:val="79624100"/>
    <w:rsid w:val="796D1110"/>
    <w:rsid w:val="79994729"/>
    <w:rsid w:val="79EE5AB3"/>
    <w:rsid w:val="7A2C2367"/>
    <w:rsid w:val="7A6E7801"/>
    <w:rsid w:val="7A7B720D"/>
    <w:rsid w:val="7A8E0AD6"/>
    <w:rsid w:val="7AA03607"/>
    <w:rsid w:val="7AB97CFC"/>
    <w:rsid w:val="7B2535F4"/>
    <w:rsid w:val="7B486B40"/>
    <w:rsid w:val="7B4E1709"/>
    <w:rsid w:val="7B666D19"/>
    <w:rsid w:val="7B714543"/>
    <w:rsid w:val="7B7F4B9D"/>
    <w:rsid w:val="7BA460A5"/>
    <w:rsid w:val="7BB634D0"/>
    <w:rsid w:val="7BCE70FF"/>
    <w:rsid w:val="7BCF0B37"/>
    <w:rsid w:val="7C082A70"/>
    <w:rsid w:val="7C212B77"/>
    <w:rsid w:val="7C2B6238"/>
    <w:rsid w:val="7C703FAA"/>
    <w:rsid w:val="7C870489"/>
    <w:rsid w:val="7CAA1019"/>
    <w:rsid w:val="7CDF24C8"/>
    <w:rsid w:val="7D047248"/>
    <w:rsid w:val="7D2232B3"/>
    <w:rsid w:val="7D3F4AB7"/>
    <w:rsid w:val="7D52547C"/>
    <w:rsid w:val="7D5B478E"/>
    <w:rsid w:val="7D9001DE"/>
    <w:rsid w:val="7D955836"/>
    <w:rsid w:val="7D981085"/>
    <w:rsid w:val="7DB73C18"/>
    <w:rsid w:val="7DC00242"/>
    <w:rsid w:val="7DF351DB"/>
    <w:rsid w:val="7DF51EDB"/>
    <w:rsid w:val="7DFD1D03"/>
    <w:rsid w:val="7E2C55B4"/>
    <w:rsid w:val="7E4B3AD7"/>
    <w:rsid w:val="7E7C0869"/>
    <w:rsid w:val="7E821B91"/>
    <w:rsid w:val="7EC90580"/>
    <w:rsid w:val="7EE91580"/>
    <w:rsid w:val="7F1A4044"/>
    <w:rsid w:val="7F331C17"/>
    <w:rsid w:val="7F391313"/>
    <w:rsid w:val="7F586095"/>
    <w:rsid w:val="7F5976D7"/>
    <w:rsid w:val="7F8A2B2D"/>
    <w:rsid w:val="7FA568C9"/>
    <w:rsid w:val="7FD26AED"/>
    <w:rsid w:val="7FE61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0" w:beforeAutospacing="1" w:after="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20"/>
    <w:qFormat/>
    <w:uiPriority w:val="0"/>
    <w:rPr>
      <w:rFonts w:ascii="宋体" w:hAnsi="Courier New" w:cs="Courier New"/>
      <w:szCs w:val="21"/>
    </w:rPr>
  </w:style>
  <w:style w:type="paragraph" w:styleId="6">
    <w:name w:val="Balloon Text"/>
    <w:basedOn w:val="1"/>
    <w:link w:val="19"/>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Emphasis"/>
    <w:basedOn w:val="13"/>
    <w:qFormat/>
    <w:uiPriority w:val="20"/>
    <w:rPr>
      <w:i/>
    </w:rPr>
  </w:style>
  <w:style w:type="character" w:styleId="16">
    <w:name w:val="Hyperlink"/>
    <w:basedOn w:val="13"/>
    <w:semiHidden/>
    <w:unhideWhenUsed/>
    <w:qFormat/>
    <w:uiPriority w:val="99"/>
    <w:rPr>
      <w:color w:val="0000FF"/>
      <w:u w:val="single"/>
    </w:rPr>
  </w:style>
  <w:style w:type="character" w:customStyle="1" w:styleId="17">
    <w:name w:val="页眉 字符"/>
    <w:basedOn w:val="13"/>
    <w:link w:val="8"/>
    <w:qFormat/>
    <w:uiPriority w:val="99"/>
    <w:rPr>
      <w:sz w:val="18"/>
      <w:szCs w:val="18"/>
    </w:rPr>
  </w:style>
  <w:style w:type="character" w:customStyle="1" w:styleId="18">
    <w:name w:val="页脚 字符"/>
    <w:basedOn w:val="13"/>
    <w:link w:val="7"/>
    <w:qFormat/>
    <w:uiPriority w:val="99"/>
    <w:rPr>
      <w:sz w:val="18"/>
      <w:szCs w:val="18"/>
    </w:rPr>
  </w:style>
  <w:style w:type="character" w:customStyle="1" w:styleId="19">
    <w:name w:val="批注框文本 字符"/>
    <w:basedOn w:val="13"/>
    <w:link w:val="6"/>
    <w:semiHidden/>
    <w:qFormat/>
    <w:uiPriority w:val="99"/>
    <w:rPr>
      <w:sz w:val="18"/>
      <w:szCs w:val="18"/>
    </w:rPr>
  </w:style>
  <w:style w:type="character" w:customStyle="1" w:styleId="20">
    <w:name w:val="纯文本 字符"/>
    <w:basedOn w:val="13"/>
    <w:link w:val="5"/>
    <w:qFormat/>
    <w:uiPriority w:val="0"/>
    <w:rPr>
      <w:rFonts w:ascii="宋体" w:hAnsi="Courier New" w:eastAsia="宋体" w:cs="Courier New"/>
      <w:szCs w:val="21"/>
    </w:rPr>
  </w:style>
  <w:style w:type="paragraph" w:customStyle="1" w:styleId="21">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黑体红"/>
    <w:basedOn w:val="1"/>
    <w:qFormat/>
    <w:uiPriority w:val="0"/>
    <w:pPr>
      <w:adjustRightInd w:val="0"/>
      <w:snapToGrid w:val="0"/>
      <w:spacing w:line="360" w:lineRule="auto"/>
      <w:ind w:firstLine="420"/>
    </w:pPr>
    <w:rPr>
      <w:rFonts w:eastAsia="黑体"/>
      <w:bCs/>
      <w:color w:val="FF0000"/>
      <w:szCs w:val="21"/>
    </w:rPr>
  </w:style>
  <w:style w:type="paragraph" w:customStyle="1" w:styleId="23">
    <w:name w:val="Other|1"/>
    <w:next w:val="5"/>
    <w:qFormat/>
    <w:uiPriority w:val="0"/>
    <w:pPr>
      <w:widowControl w:val="0"/>
      <w:spacing w:after="200"/>
      <w:ind w:firstLine="140"/>
      <w:jc w:val="both"/>
    </w:pPr>
    <w:rPr>
      <w:rFonts w:ascii="宋体" w:hAnsi="Times New Roman" w:eastAsia="宋体" w:cs="宋体"/>
      <w:kern w:val="2"/>
      <w:sz w:val="18"/>
      <w:szCs w:val="1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9915</Words>
  <Characters>10416</Characters>
  <Lines>60</Lines>
  <Paragraphs>17</Paragraphs>
  <TotalTime>1</TotalTime>
  <ScaleCrop>false</ScaleCrop>
  <LinksUpToDate>false</LinksUpToDate>
  <CharactersWithSpaces>10456</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2019-12-17T03:45:00Z</dcterms:created>
  <dc:creator>高三015</dc:creator>
  <cp:lastModifiedBy>jiaming</cp:lastModifiedBy>
  <dcterms:modified xsi:type="dcterms:W3CDTF">2022-09-27T14:36:44Z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2B564DD386EE4CE4AFB1BAA3FAC09032</vt:lpwstr>
  </property>
</Properties>
</file>